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2904"/>
      <w:bookmarkStart w:id="1" w:name="_Toc31887"/>
      <w:bookmarkStart w:id="2" w:name="_Toc20068"/>
      <w:bookmarkStart w:id="3" w:name="_Toc142"/>
      <w:bookmarkStart w:id="4" w:name="_Toc27019"/>
      <w:bookmarkStart w:id="5" w:name="_Toc21359"/>
      <w:bookmarkStart w:id="6" w:name="_Toc9272"/>
      <w:bookmarkStart w:id="7" w:name="_Toc30575"/>
      <w:bookmarkStart w:id="8" w:name="_Toc8870"/>
      <w:bookmarkStart w:id="9" w:name="_Toc21136"/>
      <w:bookmarkStart w:id="10" w:name="_Toc5692"/>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bidi w:val="0"/>
        <w:rPr>
          <w:rFonts w:hint="default" w:ascii="Times New Roman" w:hAnsi="Times New Roman" w:cs="Times New Roman"/>
          <w:color w:val="auto"/>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1280" w:firstLineChars="400"/>
        <w:jc w:val="center"/>
        <w:textAlignment w:val="auto"/>
        <w:rPr>
          <w:rFonts w:hint="default" w:ascii="Times New Roman" w:hAnsi="Times New Roman" w:eastAsia="宋体" w:cs="Times New Roman"/>
          <w:color w:val="auto"/>
          <w:w w:val="90"/>
          <w:sz w:val="32"/>
          <w:szCs w:val="32"/>
          <w:u w:val="single"/>
          <w:lang w:val="en-US" w:eastAsia="zh-CN"/>
        </w:rPr>
      </w:pPr>
      <w:r>
        <w:rPr>
          <w:rFonts w:hint="default" w:ascii="Times New Roman" w:hAnsi="Times New Roman" w:eastAsia="宋体" w:cs="Times New Roman"/>
          <w:color w:val="auto"/>
          <w:sz w:val="32"/>
          <w:szCs w:val="32"/>
        </w:rPr>
        <w:t>项目名称：</w:t>
      </w:r>
      <w:r>
        <w:rPr>
          <w:rFonts w:hint="eastAsia" w:cs="Times New Roman"/>
          <w:color w:val="auto"/>
          <w:sz w:val="32"/>
          <w:szCs w:val="32"/>
          <w:u w:val="single"/>
          <w:lang w:eastAsia="zh-CN"/>
        </w:rPr>
        <w:t>嘉荫县胜泽粮贸有限公司建设项目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lang w:eastAsia="zh-CN"/>
        </w:rPr>
      </w:pPr>
      <w:r>
        <w:rPr>
          <w:rFonts w:hint="default" w:ascii="Times New Roman" w:hAnsi="Times New Roman" w:eastAsia="宋体" w:cs="Times New Roman"/>
          <w:color w:val="auto"/>
          <w:sz w:val="32"/>
          <w:szCs w:val="32"/>
        </w:rPr>
        <w:t>建设单位：</w:t>
      </w:r>
      <w:r>
        <w:rPr>
          <w:rFonts w:hint="eastAsia" w:cs="Times New Roman"/>
          <w:color w:val="auto"/>
          <w:sz w:val="32"/>
          <w:szCs w:val="32"/>
          <w:u w:val="single"/>
          <w:lang w:eastAsia="zh-CN"/>
        </w:rPr>
        <w:t>嘉荫县胜泽粮贸有限公司</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编制日期：</w:t>
      </w:r>
      <w:r>
        <w:rPr>
          <w:rFonts w:hint="default" w:ascii="Times New Roman" w:hAnsi="Times New Roman" w:eastAsia="宋体" w:cs="Times New Roman"/>
          <w:color w:val="auto"/>
          <w:sz w:val="32"/>
          <w:szCs w:val="32"/>
          <w:u w:val="single"/>
        </w:rPr>
        <w:t>202</w:t>
      </w:r>
      <w:r>
        <w:rPr>
          <w:rFonts w:hint="eastAsia"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rPr>
        <w:t>年</w:t>
      </w:r>
      <w:r>
        <w:rPr>
          <w:rFonts w:hint="eastAsia" w:cs="Times New Roman"/>
          <w:color w:val="auto"/>
          <w:sz w:val="32"/>
          <w:szCs w:val="32"/>
          <w:u w:val="single"/>
          <w:lang w:val="en-US" w:eastAsia="zh-CN"/>
        </w:rPr>
        <w:t>9</w:t>
      </w:r>
      <w:r>
        <w:rPr>
          <w:rFonts w:hint="default" w:ascii="Times New Roman" w:hAnsi="Times New Roman" w:eastAsia="宋体" w:cs="Times New Roman"/>
          <w:color w:val="auto"/>
          <w:sz w:val="32"/>
          <w:szCs w:val="32"/>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1"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pStyle w:val="36"/>
        <w:rPr>
          <w:rFonts w:hint="default" w:ascii="Times New Roman" w:hAnsi="Times New Roman" w:eastAsia="仿宋_GB2312" w:cs="Times New Roman"/>
          <w:color w:val="auto"/>
          <w:sz w:val="36"/>
          <w:szCs w:val="36"/>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bookmarkEnd w:id="11"/>
    <w:p>
      <w:pPr>
        <w:adjustRightInd w:val="0"/>
        <w:snapToGrid w:val="0"/>
        <w:spacing w:line="288" w:lineRule="auto"/>
        <w:jc w:val="center"/>
        <w:rPr>
          <w:rFonts w:hint="default" w:ascii="Times New Roman" w:hAnsi="Times New Roman" w:eastAsia="楷体_GB2312" w:cs="Times New Roman"/>
          <w:color w:val="auto"/>
          <w:sz w:val="36"/>
          <w:szCs w:val="36"/>
          <w:lang w:val="en-US" w:eastAsia="zh-CN"/>
        </w:rPr>
      </w:pPr>
      <w:r>
        <w:rPr>
          <w:rFonts w:hint="default" w:ascii="Times New Roman" w:hAnsi="Times New Roman" w:cs="Times New Roman"/>
          <w:color w:val="auto"/>
          <w:sz w:val="32"/>
          <w:szCs w:val="32"/>
        </w:rPr>
        <w:t>中华人民共和国生态环境部制</w:t>
      </w:r>
    </w:p>
    <w:p>
      <w:pPr>
        <w:jc w:val="center"/>
        <w:rPr>
          <w:rFonts w:hint="eastAsia" w:ascii="Times New Roman" w:hAnsi="Times New Roman" w:eastAsia="宋体" w:cs="Times New Roman"/>
          <w:color w:val="auto"/>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8"/>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44"/>
          <w:szCs w:val="44"/>
        </w:rPr>
      </w:pPr>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US" w:eastAsia="zh-CN"/>
        </w:rPr>
        <w:t xml:space="preserve"> </w:t>
      </w:r>
      <w:r>
        <w:rPr>
          <w:rFonts w:hint="default" w:ascii="Times New Roman" w:hAnsi="Times New Roman" w:eastAsia="宋体" w:cs="Times New Roman"/>
          <w:b/>
          <w:bCs/>
          <w:color w:val="auto"/>
          <w:sz w:val="44"/>
          <w:szCs w:val="44"/>
        </w:rPr>
        <w:t>录</w:t>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TOC \o "1-1" \h \u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_Toc20794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_Toc20794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_Toc20707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_Toc20707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_Toc25835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_Toc25835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_Toc16636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_Toc16636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_Toc12480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_Toc12480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_Toc12350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_Toc12350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_Toc30034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_Toc30034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_Toc18337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lang w:eastAsia="zh-CN"/>
        </w:rPr>
        <w:t>图</w:t>
      </w:r>
      <w:r>
        <w:rPr>
          <w:rFonts w:hint="default" w:ascii="Times New Roman" w:hAnsi="Times New Roman" w:eastAsia="宋体" w:cs="Times New Roman"/>
          <w:snapToGrid w:val="0"/>
          <w:color w:val="auto"/>
          <w:sz w:val="24"/>
          <w:szCs w:val="24"/>
          <w:lang w:val="en-US" w:eastAsia="zh-CN"/>
        </w:rPr>
        <w:t>1 本项目地理位置图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_Toc18337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_Toc18590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highlight w:val="none"/>
          <w:lang w:eastAsia="zh-CN"/>
        </w:rPr>
        <w:t>图</w:t>
      </w:r>
      <w:r>
        <w:rPr>
          <w:rFonts w:hint="default" w:ascii="Times New Roman" w:hAnsi="Times New Roman" w:eastAsia="宋体" w:cs="Times New Roman"/>
          <w:snapToGrid w:val="0"/>
          <w:color w:val="auto"/>
          <w:sz w:val="24"/>
          <w:szCs w:val="24"/>
          <w:highlight w:val="none"/>
          <w:lang w:val="en-US" w:eastAsia="zh-CN"/>
        </w:rPr>
        <w:t>2 厂区总平面布置图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_Toc18590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_Toc20844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highlight w:val="none"/>
          <w:lang w:val="en-US" w:eastAsia="zh-CN"/>
        </w:rPr>
        <w:t>附图3 伊春市环境分区管控单元图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_Toc20844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_Toc21215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附件1 营业执照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_Toc21215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_Toc32093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附件2 土地相关文件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_Toc32093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_Toc10769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附件3 燃料分析单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_Toc10769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_Toc13661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附件4 监测报告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_Toc13661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_Toc23918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5 生态环境分区管控分析报告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_Toc23918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_Toc19667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6 核定总量计算说明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_Toc19667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36"/>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4"/>
          <w:szCs w:val="24"/>
          <w:lang w:eastAsia="zh-CN"/>
        </w:rPr>
        <w:fldChar w:fldCharType="end"/>
      </w:r>
    </w:p>
    <w:p>
      <w:pPr>
        <w:pStyle w:val="25"/>
        <w:jc w:val="center"/>
        <w:outlineLvl w:val="0"/>
        <w:rPr>
          <w:rFonts w:hint="default" w:ascii="Times New Roman" w:hAnsi="Times New Roman" w:eastAsia="黑体" w:cs="Times New Roman"/>
          <w:snapToGrid w:val="0"/>
          <w:color w:val="auto"/>
          <w:sz w:val="30"/>
          <w:szCs w:val="30"/>
        </w:rPr>
      </w:pPr>
      <w:bookmarkStart w:id="12" w:name="_Toc15523"/>
      <w:bookmarkStart w:id="13" w:name="_Toc20794"/>
      <w:r>
        <w:rPr>
          <w:rFonts w:hint="default" w:ascii="Times New Roman" w:hAnsi="Times New Roman" w:eastAsia="黑体" w:cs="Times New Roman"/>
          <w:snapToGrid w:val="0"/>
          <w:color w:val="auto"/>
          <w:sz w:val="30"/>
          <w:szCs w:val="30"/>
        </w:rPr>
        <w:t>一、建设项目基本情况</w:t>
      </w:r>
      <w:bookmarkEnd w:id="12"/>
      <w:bookmarkEnd w:id="13"/>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9"/>
        <w:gridCol w:w="2703"/>
        <w:gridCol w:w="2239"/>
        <w:gridCol w:w="2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eastAsia" w:cs="Times New Roman"/>
                <w:b w:val="0"/>
                <w:bCs w:val="0"/>
                <w:color w:val="auto"/>
                <w:sz w:val="24"/>
                <w:szCs w:val="24"/>
                <w:lang w:eastAsia="zh-CN"/>
              </w:rPr>
              <w:t>嘉荫县胜泽粮贸有限公司</w:t>
            </w:r>
            <w:r>
              <w:rPr>
                <w:rFonts w:hint="eastAsia" w:ascii="Times New Roman" w:hAnsi="Times New Roman" w:eastAsia="宋体" w:cs="Times New Roman"/>
                <w:b w:val="0"/>
                <w:bCs w:val="0"/>
                <w:color w:val="auto"/>
                <w:sz w:val="24"/>
                <w:szCs w:val="24"/>
                <w:lang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703" w:type="dxa"/>
            <w:noWrap w:val="0"/>
            <w:vAlign w:val="center"/>
          </w:tcPr>
          <w:p>
            <w:pPr>
              <w:adjustRightInd w:val="0"/>
              <w:snapToGrid w:val="0"/>
              <w:jc w:val="both"/>
              <w:rPr>
                <w:rFonts w:hint="default" w:ascii="Times New Roman" w:hAnsi="Times New Roman" w:eastAsia="宋体" w:cs="Times New Roman"/>
                <w:color w:val="auto"/>
                <w:sz w:val="24"/>
                <w:szCs w:val="24"/>
                <w:highlight w:val="yellow"/>
                <w:lang w:val="en-US" w:eastAsia="zh-CN"/>
              </w:rPr>
            </w:pPr>
          </w:p>
        </w:tc>
        <w:tc>
          <w:tcPr>
            <w:tcW w:w="22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drawing>
                <wp:anchor distT="0" distB="0" distL="114300" distR="114300" simplePos="0" relativeHeight="251666432" behindDoc="0" locked="0" layoutInCell="1" allowOverlap="1">
                  <wp:simplePos x="0" y="0"/>
                  <wp:positionH relativeFrom="column">
                    <wp:posOffset>8580120</wp:posOffset>
                  </wp:positionH>
                  <wp:positionV relativeFrom="paragraph">
                    <wp:posOffset>1028700</wp:posOffset>
                  </wp:positionV>
                  <wp:extent cx="1192530" cy="1285875"/>
                  <wp:effectExtent l="9525" t="9525" r="17145" b="19050"/>
                  <wp:wrapNone/>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9"/>
                          <a:stretch>
                            <a:fillRect/>
                          </a:stretch>
                        </pic:blipFill>
                        <pic:spPr>
                          <a:xfrm>
                            <a:off x="0" y="0"/>
                            <a:ext cx="1192530" cy="128587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Times New Roman" w:hAnsi="Times New Roman" w:cs="Times New Roman"/>
                <w:color w:val="auto"/>
                <w:sz w:val="24"/>
                <w:szCs w:val="24"/>
                <w:highlight w:val="none"/>
                <w:lang w:eastAsia="zh-CN"/>
              </w:rPr>
              <w:t>伊春市嘉荫县</w:t>
            </w:r>
            <w:r>
              <w:rPr>
                <w:rFonts w:hint="eastAsia" w:cs="Times New Roman"/>
                <w:color w:val="auto"/>
                <w:sz w:val="24"/>
                <w:szCs w:val="24"/>
                <w:highlight w:val="none"/>
                <w:lang w:val="en-US" w:eastAsia="zh-CN"/>
              </w:rPr>
              <w:t>保兴镇前景村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809"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1</w:t>
            </w:r>
            <w:r>
              <w:rPr>
                <w:rFonts w:hint="eastAsia" w:ascii="Times New Roman" w:hAnsi="Times New Roman" w:cs="Times New Roman"/>
                <w:color w:val="auto"/>
                <w:sz w:val="24"/>
                <w:szCs w:val="24"/>
                <w:highlight w:val="none"/>
                <w:u w:val="single"/>
                <w:lang w:val="en-US" w:eastAsia="zh-CN"/>
              </w:rPr>
              <w:t>30</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17</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54.621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4</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u w:val="single"/>
              </w:rPr>
              <w:t xml:space="preserve"> 度 </w:t>
            </w:r>
            <w:r>
              <w:rPr>
                <w:rFonts w:hint="eastAsia" w:cs="Times New Roman"/>
                <w:color w:val="auto"/>
                <w:sz w:val="24"/>
                <w:szCs w:val="24"/>
                <w:highlight w:val="none"/>
                <w:u w:val="single"/>
                <w:lang w:val="en-US" w:eastAsia="zh-CN"/>
              </w:rPr>
              <w:t>39</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u w:val="single"/>
              </w:rPr>
              <w:t xml:space="preserve">分 </w:t>
            </w:r>
            <w:r>
              <w:rPr>
                <w:rFonts w:hint="eastAsia" w:cs="Times New Roman"/>
                <w:color w:val="auto"/>
                <w:sz w:val="24"/>
                <w:szCs w:val="24"/>
                <w:highlight w:val="none"/>
                <w:u w:val="single"/>
                <w:lang w:val="en-US" w:eastAsia="zh-CN"/>
              </w:rPr>
              <w:t>34.728</w:t>
            </w:r>
            <w:r>
              <w:rPr>
                <w:rFonts w:hint="default" w:ascii="Times New Roman" w:hAnsi="Times New Roman" w:cs="Times New Roman"/>
                <w:color w:val="auto"/>
                <w:sz w:val="24"/>
                <w:szCs w:val="24"/>
                <w:highlight w:val="none"/>
                <w:u w:val="single"/>
              </w:rPr>
              <w:t xml:space="preserve"> 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35"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03" w:type="dxa"/>
            <w:noWrap w:val="0"/>
            <w:vAlign w:val="center"/>
          </w:tcPr>
          <w:p>
            <w:pPr>
              <w:adjustRightInd w:val="0"/>
              <w:snapToGrid w:val="0"/>
              <w:jc w:val="center"/>
              <w:rPr>
                <w:rFonts w:hint="default"/>
                <w:color w:val="auto"/>
                <w:sz w:val="24"/>
                <w:szCs w:val="24"/>
                <w:lang w:val="en-US" w:eastAsia="zh-CN"/>
              </w:rPr>
            </w:pPr>
            <w:r>
              <w:rPr>
                <w:rFonts w:hint="default"/>
                <w:color w:val="auto"/>
                <w:sz w:val="24"/>
                <w:szCs w:val="24"/>
                <w:lang w:val="en-US" w:eastAsia="zh-CN"/>
              </w:rPr>
              <w:t>D4430热力生产和供应</w:t>
            </w:r>
          </w:p>
          <w:p>
            <w:pPr>
              <w:pStyle w:val="27"/>
              <w:ind w:left="0" w:leftChars="0" w:firstLine="0" w:firstLineChars="0"/>
              <w:jc w:val="center"/>
              <w:rPr>
                <w:rFonts w:hint="default"/>
                <w:color w:val="auto"/>
                <w:lang w:val="en-US" w:eastAsia="zh-CN"/>
              </w:rPr>
            </w:pPr>
            <w:r>
              <w:rPr>
                <w:rFonts w:hint="eastAsia"/>
                <w:color w:val="auto"/>
                <w:sz w:val="24"/>
                <w:szCs w:val="24"/>
                <w:lang w:val="en-US" w:eastAsia="zh-CN"/>
              </w:rPr>
              <w:t>A0514农产品初加工活动</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867" w:type="dxa"/>
            <w:noWrap w:val="0"/>
            <w:vAlign w:val="center"/>
          </w:tcPr>
          <w:p>
            <w:pPr>
              <w:numPr>
                <w:ilvl w:val="0"/>
                <w:numId w:val="0"/>
              </w:numPr>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91</w:t>
            </w:r>
            <w:r>
              <w:rPr>
                <w:rFonts w:hint="default" w:ascii="Times New Roman" w:hAnsi="Times New Roman" w:cs="Times New Roman"/>
                <w:color w:val="auto"/>
                <w:sz w:val="24"/>
                <w:szCs w:val="24"/>
              </w:rPr>
              <w:t>热力生产和供应工程 （包括建设单位自建 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703"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867"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70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86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bCs/>
                <w:color w:val="auto"/>
                <w:kern w:val="0"/>
                <w:sz w:val="24"/>
                <w:szCs w:val="24"/>
                <w:highlight w:val="none"/>
                <w:lang w:val="en-US" w:eastAsia="zh-CN"/>
              </w:rPr>
              <w:t>300</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Cs/>
                <w:color w:val="auto"/>
                <w:kern w:val="0"/>
                <w:sz w:val="24"/>
                <w:szCs w:val="24"/>
                <w:highlight w:val="none"/>
                <w:lang w:val="en-US" w:eastAsia="zh-CN"/>
              </w:rPr>
              <w:t>1</w:t>
            </w:r>
            <w:r>
              <w:rPr>
                <w:rFonts w:hint="eastAsia" w:cs="Times New Roman"/>
                <w:bCs/>
                <w:color w:val="auto"/>
                <w:kern w:val="0"/>
                <w:sz w:val="24"/>
                <w:szCs w:val="24"/>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4"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施工工期</w:t>
            </w:r>
          </w:p>
        </w:tc>
        <w:tc>
          <w:tcPr>
            <w:tcW w:w="2867"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3</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703" w:type="dxa"/>
            <w:noWrap w:val="0"/>
            <w:vAlign w:val="center"/>
          </w:tcPr>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highlight w:val="none"/>
                <w:u w:val="single"/>
              </w:rPr>
              <w:t xml:space="preserve">    </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Cs/>
                <w:color w:val="auto"/>
                <w:kern w:val="0"/>
                <w:sz w:val="24"/>
                <w:szCs w:val="24"/>
                <w:lang w:val="en-US" w:eastAsia="zh-CN"/>
              </w:rPr>
              <w:t>3900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82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38"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09" w:type="dxa"/>
            <w:gridSpan w:val="3"/>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与生态环境分区管控</w:t>
            </w:r>
            <w:r>
              <w:rPr>
                <w:rFonts w:hint="default" w:ascii="Times New Roman" w:hAnsi="Times New Roman" w:cs="Times New Roman"/>
                <w:color w:val="auto"/>
                <w:kern w:val="0"/>
                <w:sz w:val="24"/>
                <w:szCs w:val="24"/>
                <w:highlight w:val="none"/>
                <w:lang w:val="en-US" w:eastAsia="zh-CN"/>
              </w:rPr>
              <w:t>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本项目位于</w:t>
            </w:r>
            <w:r>
              <w:rPr>
                <w:rFonts w:hint="eastAsia" w:ascii="Times New Roman" w:hAnsi="Times New Roman" w:cs="Times New Roman"/>
                <w:color w:val="auto"/>
                <w:kern w:val="0"/>
                <w:sz w:val="24"/>
                <w:szCs w:val="24"/>
                <w:highlight w:val="none"/>
                <w:lang w:val="en-US" w:eastAsia="zh-CN"/>
              </w:rPr>
              <w:t>伊春</w:t>
            </w:r>
            <w:r>
              <w:rPr>
                <w:rFonts w:hint="eastAsia" w:ascii="Times New Roman" w:hAnsi="Times New Roman" w:eastAsia="宋体" w:cs="Times New Roman"/>
                <w:color w:val="auto"/>
                <w:sz w:val="24"/>
                <w:szCs w:val="24"/>
                <w:highlight w:val="none"/>
                <w:lang w:val="en-US" w:eastAsia="zh-CN"/>
              </w:rPr>
              <w:t>市嘉荫县</w:t>
            </w:r>
            <w:r>
              <w:rPr>
                <w:rFonts w:hint="eastAsia" w:cs="Times New Roman"/>
                <w:color w:val="auto"/>
                <w:sz w:val="24"/>
                <w:szCs w:val="24"/>
                <w:highlight w:val="none"/>
                <w:lang w:val="en-US" w:eastAsia="zh-CN"/>
              </w:rPr>
              <w:t>保兴镇前景村</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rPr>
              <w:t>根据</w:t>
            </w:r>
            <w:r>
              <w:rPr>
                <w:rFonts w:hint="eastAsia" w:ascii="Times New Roman" w:hAnsi="Times New Roman" w:cs="Times New Roman"/>
                <w:color w:val="auto"/>
                <w:kern w:val="0"/>
                <w:sz w:val="24"/>
                <w:szCs w:val="24"/>
                <w:highlight w:val="none"/>
              </w:rPr>
              <w:t>《伊春市人民政府关于实施“三线一单”生态环境分区管控意见》伊政规〔2021〕6号</w:t>
            </w:r>
            <w:r>
              <w:rPr>
                <w:rFonts w:hint="default" w:ascii="Times New Roman" w:hAnsi="Times New Roman" w:cs="Times New Roman"/>
                <w:color w:val="auto"/>
                <w:kern w:val="0"/>
                <w:sz w:val="24"/>
                <w:szCs w:val="24"/>
                <w:highlight w:val="none"/>
              </w:rPr>
              <w:t>规定</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sz w:val="24"/>
                <w:lang w:val="en-US" w:eastAsia="zh-CN"/>
              </w:rPr>
              <w:t>伊春市生态环境准入清单（2023年版）</w:t>
            </w:r>
            <w:r>
              <w:rPr>
                <w:rFonts w:hint="eastAsia" w:cs="Times New Roman"/>
                <w:color w:val="auto"/>
                <w:sz w:val="24"/>
                <w:lang w:val="en-US" w:eastAsia="zh-CN"/>
              </w:rPr>
              <w:t>以及生态环境分区管控报告</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eastAsia="zh-CN"/>
              </w:rPr>
              <w:t>项目所在区域</w:t>
            </w:r>
            <w:r>
              <w:rPr>
                <w:rFonts w:hint="eastAsia" w:ascii="Times New Roman" w:hAnsi="Times New Roman" w:cs="Times New Roman"/>
                <w:color w:val="auto"/>
                <w:kern w:val="0"/>
                <w:sz w:val="24"/>
                <w:szCs w:val="24"/>
                <w:highlight w:val="none"/>
              </w:rPr>
              <w:t>属于</w:t>
            </w:r>
            <w:r>
              <w:rPr>
                <w:rFonts w:hint="eastAsia" w:ascii="Times New Roman" w:hAnsi="Times New Roman" w:cs="Times New Roman"/>
                <w:color w:val="auto"/>
                <w:kern w:val="0"/>
                <w:sz w:val="24"/>
                <w:szCs w:val="24"/>
                <w:highlight w:val="none"/>
                <w:lang w:val="en-US" w:eastAsia="zh-CN"/>
              </w:rPr>
              <w:t>一般</w:t>
            </w:r>
            <w:r>
              <w:rPr>
                <w:rFonts w:hint="default" w:ascii="Times New Roman" w:hAnsi="Times New Roman" w:cs="Times New Roman"/>
                <w:color w:val="auto"/>
                <w:kern w:val="0"/>
                <w:sz w:val="24"/>
                <w:szCs w:val="24"/>
                <w:highlight w:val="none"/>
              </w:rPr>
              <w:t>管控单元。突出污染物排放控制和环境风险防控，按照差别化的生态环境准入要求，优化空间和产业布局，不断提升资源利用效率，强化环境质量改善目标约束，解决局部生态环境质量不达标、生态环境风险高的问题。</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生态保护红线：</w:t>
            </w:r>
            <w:r>
              <w:rPr>
                <w:rFonts w:hint="eastAsia"/>
                <w:color w:val="auto"/>
                <w:kern w:val="0"/>
                <w:sz w:val="24"/>
                <w:szCs w:val="21"/>
              </w:rPr>
              <w:t>根据《伊春市生态环境准入清单》（</w:t>
            </w:r>
            <w:r>
              <w:rPr>
                <w:rFonts w:hint="eastAsia"/>
                <w:color w:val="auto"/>
                <w:kern w:val="0"/>
                <w:sz w:val="24"/>
                <w:szCs w:val="21"/>
                <w:lang w:val="en-US" w:eastAsia="zh-CN"/>
              </w:rPr>
              <w:t>2023版</w:t>
            </w:r>
            <w:r>
              <w:rPr>
                <w:rFonts w:hint="eastAsia"/>
                <w:color w:val="auto"/>
                <w:kern w:val="0"/>
                <w:sz w:val="24"/>
                <w:szCs w:val="21"/>
              </w:rPr>
              <w:t>），本项目拟建设地点属于</w:t>
            </w:r>
            <w:r>
              <w:rPr>
                <w:rFonts w:hint="eastAsia"/>
                <w:color w:val="auto"/>
                <w:kern w:val="0"/>
                <w:sz w:val="24"/>
                <w:szCs w:val="21"/>
                <w:lang w:val="en-US" w:eastAsia="zh-CN"/>
              </w:rPr>
              <w:t>一般</w:t>
            </w:r>
            <w:r>
              <w:rPr>
                <w:rFonts w:hint="eastAsia"/>
                <w:color w:val="auto"/>
                <w:kern w:val="0"/>
                <w:sz w:val="24"/>
                <w:szCs w:val="21"/>
              </w:rPr>
              <w:t>管控单元，不涉及自然保护区、地质公园、风景名胜区、森林公园、水产种质资源保护区、饮用水水源保护区、湿地公园和一级国家级公益生态林等生态保护红线区域。</w:t>
            </w:r>
            <w:r>
              <w:rPr>
                <w:rFonts w:hint="eastAsia"/>
                <w:color w:val="auto"/>
                <w:kern w:val="0"/>
                <w:sz w:val="24"/>
                <w:szCs w:val="21"/>
                <w:lang w:val="en-US" w:eastAsia="zh-CN"/>
              </w:rPr>
              <w:t>符合生态保护红线管控要求。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i w:val="0"/>
                <w:iCs w:val="0"/>
                <w:color w:val="auto"/>
                <w:kern w:val="0"/>
                <w:sz w:val="24"/>
                <w:szCs w:val="24"/>
                <w:highlight w:val="none"/>
              </w:rPr>
            </w:pPr>
            <w:r>
              <w:rPr>
                <w:rFonts w:hint="default" w:ascii="Times New Roman" w:hAnsi="Times New Roman" w:cs="Times New Roman"/>
                <w:i w:val="0"/>
                <w:iCs w:val="0"/>
                <w:color w:val="auto"/>
                <w:kern w:val="0"/>
                <w:sz w:val="24"/>
                <w:szCs w:val="24"/>
                <w:highlight w:val="none"/>
              </w:rPr>
              <w:t>环境质量底线：本项目运营期各类污染物经环境保护措施治理后均可达标排放，对区域环境造成的不利影响较小，不会改变区域环境质量现状，因此，符合环境质量底线要求。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资源利用上线</w:t>
            </w:r>
            <w:r>
              <w:rPr>
                <w:rFonts w:hint="eastAsia"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rPr>
              <w:t>本项目供水水源为</w:t>
            </w:r>
            <w:r>
              <w:rPr>
                <w:rFonts w:hint="eastAsia" w:ascii="Times New Roman" w:hAnsi="Times New Roman" w:cs="Times New Roman"/>
                <w:color w:val="auto"/>
                <w:kern w:val="0"/>
                <w:sz w:val="24"/>
                <w:szCs w:val="24"/>
                <w:highlight w:val="none"/>
                <w:lang w:val="en-US" w:eastAsia="zh-CN"/>
              </w:rPr>
              <w:t>桶装水</w:t>
            </w:r>
            <w:r>
              <w:rPr>
                <w:rFonts w:hint="default" w:ascii="Times New Roman" w:hAnsi="Times New Roman" w:cs="Times New Roman"/>
                <w:color w:val="auto"/>
                <w:kern w:val="0"/>
                <w:sz w:val="24"/>
                <w:szCs w:val="24"/>
                <w:highlight w:val="none"/>
              </w:rPr>
              <w:t>、供电电源为当地供电电网，用水水源及供电电源可靠，资源消耗量</w:t>
            </w:r>
            <w:r>
              <w:rPr>
                <w:rFonts w:hint="eastAsia" w:cs="Times New Roman"/>
                <w:color w:val="auto"/>
                <w:kern w:val="0"/>
                <w:sz w:val="24"/>
                <w:szCs w:val="24"/>
                <w:highlight w:val="none"/>
                <w:lang w:eastAsia="zh-CN"/>
              </w:rPr>
              <w:t>相对</w:t>
            </w:r>
            <w:r>
              <w:rPr>
                <w:rFonts w:hint="default" w:ascii="Times New Roman" w:hAnsi="Times New Roman" w:cs="Times New Roman"/>
                <w:color w:val="auto"/>
                <w:kern w:val="0"/>
                <w:sz w:val="24"/>
                <w:szCs w:val="24"/>
                <w:highlight w:val="none"/>
              </w:rPr>
              <w:t>区域资源利用总量较小，符合资源利用上线要求。</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lang w:bidi="ar"/>
              </w:rPr>
            </w:pPr>
            <w:r>
              <w:rPr>
                <w:rFonts w:hint="eastAsia" w:ascii="Times New Roman" w:hAnsi="Times New Roman" w:cs="Times New Roman"/>
                <w:color w:val="auto"/>
                <w:kern w:val="0"/>
                <w:sz w:val="24"/>
                <w:szCs w:val="24"/>
                <w:highlight w:val="none"/>
                <w:lang w:val="en-US" w:eastAsia="zh-CN"/>
              </w:rPr>
              <w:t>生态环境准入</w:t>
            </w:r>
            <w:r>
              <w:rPr>
                <w:rFonts w:hint="default" w:ascii="Times New Roman" w:hAnsi="Times New Roman" w:cs="Times New Roman"/>
                <w:color w:val="auto"/>
                <w:kern w:val="0"/>
                <w:sz w:val="24"/>
                <w:szCs w:val="24"/>
                <w:highlight w:val="none"/>
              </w:rPr>
              <w:t>清单：</w:t>
            </w:r>
            <w:r>
              <w:rPr>
                <w:rFonts w:hint="default" w:ascii="Times New Roman" w:hAnsi="Times New Roman" w:eastAsia="宋体" w:cs="Times New Roman"/>
                <w:color w:val="auto"/>
                <w:kern w:val="0"/>
                <w:sz w:val="24"/>
                <w:lang w:bidi="ar"/>
              </w:rPr>
              <w:t>根据</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eastAsia="宋体" w:cs="Times New Roman"/>
                <w:color w:val="auto"/>
                <w:kern w:val="0"/>
                <w:sz w:val="24"/>
                <w:lang w:bidi="ar"/>
              </w:rPr>
              <w:t>，本项目所在地属于</w:t>
            </w:r>
            <w:r>
              <w:rPr>
                <w:rFonts w:hint="default" w:ascii="Times New Roman" w:hAnsi="Times New Roman" w:eastAsia="宋体" w:cs="Times New Roman"/>
                <w:color w:val="auto"/>
                <w:kern w:val="0"/>
                <w:sz w:val="24"/>
                <w:lang w:val="en-US" w:eastAsia="zh-CN" w:bidi="ar"/>
              </w:rPr>
              <w:t>嘉荫县其</w:t>
            </w:r>
            <w:r>
              <w:rPr>
                <w:rFonts w:hint="eastAsia" w:ascii="Times New Roman" w:hAnsi="Times New Roman" w:eastAsia="宋体" w:cs="Times New Roman"/>
                <w:color w:val="auto"/>
                <w:kern w:val="0"/>
                <w:sz w:val="24"/>
                <w:lang w:val="en-US" w:eastAsia="zh-CN" w:bidi="ar"/>
              </w:rPr>
              <w:t>他区域，属于一般管控单元，</w:t>
            </w:r>
            <w:r>
              <w:rPr>
                <w:rFonts w:hint="default" w:ascii="Times New Roman" w:hAnsi="Times New Roman" w:eastAsia="宋体" w:cs="Times New Roman"/>
                <w:color w:val="auto"/>
                <w:kern w:val="0"/>
                <w:sz w:val="24"/>
                <w:lang w:bidi="ar"/>
              </w:rPr>
              <w:t>环境管控单元编码：ZH23072230002。</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ind w:firstLine="420" w:firstLineChars="200"/>
              <w:rPr>
                <w:color w:val="auto"/>
              </w:rPr>
            </w:pPr>
            <w:r>
              <w:rPr>
                <w:color w:val="auto"/>
              </w:rPr>
              <w:drawing>
                <wp:inline distT="0" distB="0" distL="114300" distR="114300">
                  <wp:extent cx="3961130" cy="2033905"/>
                  <wp:effectExtent l="0" t="0" r="1270" b="444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0"/>
                          <a:stretch>
                            <a:fillRect/>
                          </a:stretch>
                        </pic:blipFill>
                        <pic:spPr>
                          <a:xfrm>
                            <a:off x="0" y="0"/>
                            <a:ext cx="3961130" cy="2033905"/>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1 </w:t>
            </w:r>
            <w:r>
              <w:rPr>
                <w:rFonts w:hint="eastAsia"/>
                <w:b/>
                <w:bCs/>
                <w:color w:val="auto"/>
                <w:sz w:val="21"/>
                <w:szCs w:val="21"/>
              </w:rPr>
              <w:t>伊春市嘉荫县</w:t>
            </w:r>
            <w:r>
              <w:rPr>
                <w:b/>
                <w:bCs/>
                <w:color w:val="auto"/>
                <w:sz w:val="21"/>
                <w:szCs w:val="21"/>
              </w:rPr>
              <w:t>生态环境准入清单符合性分析</w:t>
            </w:r>
          </w:p>
          <w:tbl>
            <w:tblPr>
              <w:tblStyle w:val="30"/>
              <w:tblpPr w:leftFromText="180" w:rightFromText="180" w:vertAnchor="text" w:horzAnchor="page" w:tblpXSpec="center" w:tblpY="274"/>
              <w:tblOverlap w:val="never"/>
              <w:tblW w:w="758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05"/>
              <w:gridCol w:w="606"/>
              <w:gridCol w:w="668"/>
              <w:gridCol w:w="515"/>
              <w:gridCol w:w="2520"/>
              <w:gridCol w:w="17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505"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环境管控单元编码</w:t>
                  </w:r>
                </w:p>
              </w:tc>
              <w:tc>
                <w:tcPr>
                  <w:tcW w:w="606"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单元名称</w:t>
                  </w:r>
                </w:p>
              </w:tc>
              <w:tc>
                <w:tcPr>
                  <w:tcW w:w="668"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管控单</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元类别</w:t>
                  </w:r>
                </w:p>
              </w:tc>
              <w:tc>
                <w:tcPr>
                  <w:tcW w:w="515"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管控要求</w:t>
                  </w:r>
                </w:p>
              </w:tc>
              <w:tc>
                <w:tcPr>
                  <w:tcW w:w="2520"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环境管控单元编码</w:t>
                  </w:r>
                </w:p>
              </w:tc>
              <w:tc>
                <w:tcPr>
                  <w:tcW w:w="1773"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505" w:type="dxa"/>
                  <w:noWrap w:val="0"/>
                  <w:vAlign w:val="center"/>
                </w:tcPr>
                <w:p>
                  <w:pPr>
                    <w:pStyle w:val="85"/>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ZH23072230002</w:t>
                  </w:r>
                </w:p>
              </w:tc>
              <w:tc>
                <w:tcPr>
                  <w:tcW w:w="606" w:type="dxa"/>
                  <w:noWrap w:val="0"/>
                  <w:vAlign w:val="center"/>
                </w:tcPr>
                <w:p>
                  <w:pPr>
                    <w:pStyle w:val="85"/>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嘉荫县其他区域</w:t>
                  </w:r>
                </w:p>
              </w:tc>
              <w:tc>
                <w:tcPr>
                  <w:tcW w:w="668" w:type="dxa"/>
                  <w:noWrap w:val="0"/>
                  <w:vAlign w:val="center"/>
                </w:tcPr>
                <w:p>
                  <w:pPr>
                    <w:pStyle w:val="85"/>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一般管控单元</w:t>
                  </w:r>
                </w:p>
              </w:tc>
              <w:tc>
                <w:tcPr>
                  <w:tcW w:w="515" w:type="dxa"/>
                  <w:noWrap w:val="0"/>
                  <w:vAlign w:val="center"/>
                </w:tcPr>
                <w:p>
                  <w:pPr>
                    <w:pStyle w:val="85"/>
                    <w:adjustRightInd w:val="0"/>
                    <w:snapToGrid w:val="0"/>
                    <w:jc w:val="both"/>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空间布局约束</w:t>
                  </w:r>
                </w:p>
              </w:tc>
              <w:tc>
                <w:tcPr>
                  <w:tcW w:w="2520" w:type="dxa"/>
                  <w:noWrap w:val="0"/>
                  <w:vAlign w:val="center"/>
                </w:tcPr>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1.引导工业项目向开发区集中，促进产业集聚、资源集约、绿色发展。</w:t>
                  </w:r>
                </w:p>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773" w:type="dxa"/>
                  <w:noWrap w:val="0"/>
                  <w:vAlign w:val="center"/>
                </w:tcPr>
                <w:p>
                  <w:pPr>
                    <w:autoSpaceDE w:val="0"/>
                    <w:autoSpaceDN w:val="0"/>
                    <w:adjustRightInd w:val="0"/>
                    <w:jc w:val="left"/>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1.本项目为热力生产项目，周边无开发区。</w:t>
                  </w:r>
                </w:p>
                <w:p>
                  <w:pPr>
                    <w:autoSpaceDE w:val="0"/>
                    <w:autoSpaceDN w:val="0"/>
                    <w:adjustRightInd w:val="0"/>
                    <w:jc w:val="left"/>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2.本项目不属于电力、钢铁、建材、有色、化工、石油石化、船舶、煤炭、印染、造纸、制革、染料、焦化、电镀等行业</w:t>
                  </w:r>
                  <w:r>
                    <w:rPr>
                      <w:rFonts w:hint="eastAsia" w:eastAsia="宋体" w:cs="Times New Roman"/>
                      <w:snapToGrid w:val="0"/>
                      <w:color w:val="auto"/>
                      <w:kern w:val="0"/>
                      <w:sz w:val="21"/>
                      <w:szCs w:val="21"/>
                      <w:lang w:val="en-US" w:eastAsia="zh-CN" w:bidi="ar-SA"/>
                    </w:rPr>
                    <w:t>。</w:t>
                  </w:r>
                </w:p>
              </w:tc>
            </w:tr>
          </w:tbl>
          <w:p>
            <w:pPr>
              <w:spacing w:line="360" w:lineRule="auto"/>
              <w:ind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snapToGrid w:val="0"/>
                <w:color w:val="auto"/>
                <w:kern w:val="0"/>
                <w:sz w:val="24"/>
                <w:lang w:eastAsia="zh-CN"/>
              </w:rPr>
            </w:pPr>
            <w:r>
              <w:rPr>
                <w:rFonts w:hint="eastAsia"/>
                <w:snapToGrid w:val="0"/>
                <w:color w:val="auto"/>
                <w:kern w:val="0"/>
                <w:sz w:val="24"/>
                <w:lang w:eastAsia="zh-CN"/>
              </w:rPr>
              <w:t>嘉荫县胜泽粮贸有限公司建设项目位置涉及伊春市嘉荫县；项目占地总面积小于0.01平方公里。与生态保护红线交集面积为0.00平方公里，占项目占地面积的0.00%。与自然保护地整合优化方案数据交集面积为0.00平方公里，占项目占地面积的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0.00%；与重点管控单元交集面积为0.00平方公里，占项目占地面积的0.00%；一般管控单元交集面积为小于0.01平方公里，占项目占地面积的100.00%。与地下水环境优先保护区交集面积为0.00平方公里，占项目占地面积的0.00%；与地下水环境重点管控区交集面积为0.00平方公里，占项目占地面积的0.00%，与地下水环境一般管控区交集面积为小于0.01平方公里，占项目占地面积的100.00%。</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snapToGrid w:val="0"/>
                <w:color w:val="auto"/>
                <w:kern w:val="0"/>
                <w:sz w:val="24"/>
              </w:rPr>
              <w:t>严格落实本报告提出的环保措施后，本项目污染物均可达标排放。项目建设对周围环境影响较小，本项目符合</w:t>
            </w:r>
            <w:r>
              <w:rPr>
                <w:rFonts w:hint="eastAsia"/>
                <w:color w:val="auto"/>
                <w:kern w:val="0"/>
                <w:sz w:val="24"/>
                <w:szCs w:val="21"/>
              </w:rPr>
              <w:t>《黑龙江省人民政府关于实施“三线一单”生态环境分区管控的意见》（黑政发〔</w:t>
            </w:r>
            <w:r>
              <w:rPr>
                <w:color w:val="auto"/>
                <w:kern w:val="0"/>
                <w:sz w:val="24"/>
                <w:szCs w:val="21"/>
              </w:rPr>
              <w:t>2020</w:t>
            </w:r>
            <w:r>
              <w:rPr>
                <w:rFonts w:hint="eastAsia"/>
                <w:color w:val="auto"/>
                <w:kern w:val="0"/>
                <w:sz w:val="24"/>
                <w:szCs w:val="21"/>
              </w:rPr>
              <w:t>〕</w:t>
            </w:r>
            <w:r>
              <w:rPr>
                <w:color w:val="auto"/>
                <w:kern w:val="0"/>
                <w:sz w:val="24"/>
                <w:szCs w:val="21"/>
              </w:rPr>
              <w:t>14</w:t>
            </w:r>
            <w:r>
              <w:rPr>
                <w:rFonts w:hint="eastAsia"/>
                <w:color w:val="auto"/>
                <w:kern w:val="0"/>
                <w:sz w:val="24"/>
                <w:szCs w:val="21"/>
              </w:rPr>
              <w:t>号）和《伊春市生态环境准入清单》（</w:t>
            </w:r>
            <w:r>
              <w:rPr>
                <w:rFonts w:hint="eastAsia"/>
                <w:color w:val="auto"/>
                <w:kern w:val="0"/>
                <w:sz w:val="24"/>
                <w:szCs w:val="21"/>
                <w:lang w:val="en-US" w:eastAsia="zh-CN"/>
              </w:rPr>
              <w:t>2023版</w:t>
            </w:r>
            <w:r>
              <w:rPr>
                <w:rFonts w:hint="eastAsia"/>
                <w:color w:val="auto"/>
                <w:kern w:val="0"/>
                <w:sz w:val="24"/>
                <w:szCs w:val="21"/>
              </w:rPr>
              <w:t>）</w:t>
            </w:r>
            <w:r>
              <w:rPr>
                <w:snapToGrid w:val="0"/>
                <w:color w:val="auto"/>
                <w:kern w:val="0"/>
                <w:sz w:val="24"/>
              </w:rPr>
              <w:t>中要求。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bidi="ar-SA"/>
              </w:rPr>
              <w:t>2、</w:t>
            </w:r>
            <w:r>
              <w:rPr>
                <w:rFonts w:hint="default" w:ascii="Times New Roman" w:hAnsi="Times New Roman" w:cs="Times New Roman"/>
                <w:color w:val="auto"/>
                <w:kern w:val="0"/>
                <w:sz w:val="24"/>
                <w:szCs w:val="24"/>
                <w:lang w:val="en-US" w:eastAsia="zh-CN"/>
              </w:rPr>
              <w:t>产业政策符合性分析：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根据《产业结构调整指导目录》(2024年本)，本项目属于第一类 鼓励类中一、农林业 26 农林牧渔产品储运、保鲜、加工与综合利用，</w:t>
            </w:r>
            <w:r>
              <w:rPr>
                <w:rFonts w:hint="eastAsia"/>
                <w:color w:val="auto"/>
                <w:sz w:val="24"/>
                <w:lang w:val="en-US" w:eastAsia="zh-CN"/>
              </w:rPr>
              <w:t>本项目热风炉为10t/h燃生物质热风炉，不属于淘汰类设备，因此本</w:t>
            </w:r>
            <w:r>
              <w:rPr>
                <w:color w:val="auto"/>
                <w:sz w:val="24"/>
              </w:rPr>
              <w:t>项目建设符合国家产业政策。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bidi="ar-SA"/>
              </w:rPr>
              <w:t>3、</w:t>
            </w:r>
            <w:r>
              <w:rPr>
                <w:rFonts w:hint="default" w:ascii="Times New Roman" w:hAnsi="Times New Roman" w:cs="Times New Roman"/>
                <w:color w:val="auto"/>
                <w:kern w:val="0"/>
                <w:sz w:val="24"/>
                <w:szCs w:val="24"/>
                <w:highlight w:val="none"/>
                <w:lang w:val="en-US" w:eastAsia="zh-CN"/>
              </w:rPr>
              <w:t>选址合理性分析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本项目位于黑龙江省</w:t>
            </w:r>
            <w:r>
              <w:rPr>
                <w:rFonts w:hint="eastAsia" w:ascii="Times New Roman" w:hAnsi="Times New Roman" w:cs="Times New Roman"/>
                <w:color w:val="auto"/>
                <w:sz w:val="24"/>
                <w:szCs w:val="24"/>
                <w:highlight w:val="none"/>
                <w:lang w:val="en-US" w:eastAsia="zh-CN"/>
              </w:rPr>
              <w:t>伊春市嘉荫县</w:t>
            </w:r>
            <w:r>
              <w:rPr>
                <w:rFonts w:hint="eastAsia" w:cs="Times New Roman"/>
                <w:color w:val="auto"/>
                <w:sz w:val="24"/>
                <w:szCs w:val="24"/>
                <w:highlight w:val="none"/>
                <w:lang w:val="en-US" w:eastAsia="zh-CN"/>
              </w:rPr>
              <w:t>保兴镇前景村</w:t>
            </w:r>
            <w:r>
              <w:rPr>
                <w:rFonts w:hint="default" w:ascii="Times New Roman" w:hAnsi="Times New Roman" w:eastAsia="宋体" w:cs="Times New Roman"/>
                <w:color w:val="auto"/>
                <w:kern w:val="2"/>
                <w:sz w:val="24"/>
                <w:szCs w:val="24"/>
                <w:highlight w:val="none"/>
                <w:lang w:val="en-US" w:eastAsia="zh-CN" w:bidi="ar"/>
              </w:rPr>
              <w:t>，用地性质为</w:t>
            </w:r>
            <w:r>
              <w:rPr>
                <w:rFonts w:hint="eastAsia" w:cs="Times New Roman"/>
                <w:color w:val="auto"/>
                <w:kern w:val="2"/>
                <w:sz w:val="24"/>
                <w:szCs w:val="24"/>
                <w:highlight w:val="none"/>
                <w:lang w:val="en-US" w:eastAsia="zh-CN" w:bidi="ar"/>
              </w:rPr>
              <w:t>设施农用地</w:t>
            </w:r>
            <w:r>
              <w:rPr>
                <w:rFonts w:hint="default" w:ascii="Times New Roman" w:hAnsi="Times New Roman" w:eastAsia="宋体" w:cs="Times New Roman"/>
                <w:color w:val="auto"/>
                <w:kern w:val="2"/>
                <w:sz w:val="24"/>
                <w:szCs w:val="24"/>
                <w:highlight w:val="none"/>
                <w:lang w:val="en-US" w:eastAsia="zh-CN" w:bidi="ar"/>
              </w:rPr>
              <w:t>，行业类别与用地性质相符</w:t>
            </w:r>
            <w:r>
              <w:rPr>
                <w:rFonts w:hint="eastAsia" w:ascii="Times New Roman" w:hAnsi="Times New Roman" w:eastAsia="宋体" w:cs="Times New Roman"/>
                <w:color w:val="auto"/>
                <w:kern w:val="2"/>
                <w:sz w:val="24"/>
                <w:szCs w:val="24"/>
                <w:highlight w:val="none"/>
                <w:lang w:val="en-US" w:eastAsia="zh-CN" w:bidi="ar"/>
              </w:rPr>
              <w:t>，土地相关文件见附件2，项目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sz w:val="24"/>
                <w:szCs w:val="24"/>
                <w:highlight w:val="none"/>
                <w:lang w:val="en-US" w:eastAsia="zh-CN"/>
              </w:rPr>
              <w:t>晒场</w:t>
            </w:r>
            <w:r>
              <w:rPr>
                <w:rFonts w:hint="default" w:ascii="Times New Roman" w:hAnsi="Times New Roman" w:eastAsia="宋体" w:cs="Times New Roman"/>
                <w:color w:val="auto"/>
                <w:kern w:val="2"/>
                <w:sz w:val="24"/>
                <w:szCs w:val="24"/>
                <w:highlight w:val="none"/>
                <w:lang w:val="en-US" w:eastAsia="zh-CN" w:bidi="ar-SA"/>
              </w:rPr>
              <w:t>，西侧为</w:t>
            </w:r>
            <w:r>
              <w:rPr>
                <w:rFonts w:hint="eastAsia" w:cs="Times New Roman"/>
                <w:color w:val="auto"/>
                <w:kern w:val="2"/>
                <w:sz w:val="24"/>
                <w:szCs w:val="24"/>
                <w:highlight w:val="none"/>
                <w:lang w:val="en-US" w:eastAsia="zh-CN" w:bidi="ar-SA"/>
              </w:rPr>
              <w:t>耕地（一般农田）</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w:t>
            </w:r>
            <w:r>
              <w:rPr>
                <w:rFonts w:hint="eastAsia" w:cs="Times New Roman"/>
                <w:color w:val="auto"/>
                <w:kern w:val="2"/>
                <w:sz w:val="24"/>
                <w:szCs w:val="24"/>
                <w:highlight w:val="none"/>
                <w:lang w:val="en-US" w:eastAsia="zh-CN" w:bidi="ar-SA"/>
              </w:rPr>
              <w:t>为农村道路</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耕地（一般农田）</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本项目燃生物质热风炉烟气经布袋除尘器处理后经15m高烟囱排放，颗粒物排放浓度满足《工业炉窑大气污染物排放标准》（GB9078-1996）中的表2中的二级标准，SO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满足《工业炉窑大气污染物排放标准》（GB9078-1996）中的表4中的二级标准。烟气黑度满足《工业炉窑大气污染物排放标准》（GB9078-1996）中的表2中的二级标准。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w:t>
            </w:r>
            <w:r>
              <w:rPr>
                <w:rFonts w:hint="eastAsia" w:cs="Times New Roman"/>
                <w:color w:val="auto"/>
                <w:sz w:val="24"/>
                <w:szCs w:val="24"/>
                <w:highlight w:val="none"/>
                <w:lang w:val="en-US" w:eastAsia="zh-CN"/>
              </w:rPr>
              <w:t>本项目周边500m范围内无居民，因此</w:t>
            </w:r>
            <w:r>
              <w:rPr>
                <w:rFonts w:hint="default" w:ascii="Times New Roman" w:hAnsi="Times New Roman" w:cs="Times New Roman"/>
                <w:color w:val="auto"/>
                <w:sz w:val="24"/>
                <w:szCs w:val="24"/>
                <w:highlight w:val="none"/>
                <w:lang w:val="en-US" w:eastAsia="zh-CN"/>
              </w:rPr>
              <w:t>不会对周围</w:t>
            </w:r>
            <w:r>
              <w:rPr>
                <w:rFonts w:hint="eastAsia" w:cs="Times New Roman"/>
                <w:color w:val="auto"/>
                <w:sz w:val="24"/>
                <w:szCs w:val="24"/>
                <w:highlight w:val="none"/>
                <w:lang w:val="en-US" w:eastAsia="zh-CN"/>
              </w:rPr>
              <w:t>环境</w:t>
            </w:r>
            <w:r>
              <w:rPr>
                <w:rFonts w:hint="default" w:ascii="Times New Roman" w:hAnsi="Times New Roman" w:cs="Times New Roman"/>
                <w:color w:val="auto"/>
                <w:sz w:val="24"/>
                <w:szCs w:val="24"/>
                <w:highlight w:val="none"/>
                <w:lang w:val="en-US" w:eastAsia="zh-CN"/>
              </w:rPr>
              <w:t>造成明显影响。综上所述，本项目选址较为合理。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lang w:val="en-US" w:eastAsia="zh-CN"/>
              </w:rPr>
              <w:t>4、与《黑龙江省工业炉窑大气污染综合治理方案》（黑环发</w:t>
            </w:r>
            <w:r>
              <w:rPr>
                <w:rFonts w:hint="eastAsia" w:cs="Times New Roman"/>
                <w:color w:val="auto"/>
                <w:kern w:val="0"/>
                <w:sz w:val="24"/>
                <w:szCs w:val="24"/>
                <w:lang w:val="en-US" w:eastAsia="zh-CN"/>
              </w:rPr>
              <w:t>〔2019〕144号</w:t>
            </w:r>
            <w:r>
              <w:rPr>
                <w:rFonts w:hint="default" w:ascii="Times New Roman" w:hAnsi="Times New Roman" w:cs="Times New Roman"/>
                <w:color w:val="auto"/>
                <w:kern w:val="0"/>
                <w:sz w:val="24"/>
                <w:szCs w:val="24"/>
                <w:lang w:val="en-US" w:eastAsia="zh-CN"/>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黑龙江省工业炉窑大气污染综合治理方案》（黑环发〔2019〕144号），本项目不属于钢铁、焦化、电解铝、铸造、水泥和平板玻璃等产能过剩行业，符合文件中“二、重点任务：（一）加大产业结构调整力度”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本项目烘干塔热风炉燃用生物质压块燃料，不涉及燃煤及煤气发生炉设备，符合文件中“二、重点任务：（二）加快燃料清洁低碳化替代”中的相关要求。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配设布袋除尘器及15m排气筒，可使热风炉烟气达标排放；本项目输送传送带封闭设置，运输车辆装卸区设置遮挡设施，清选工艺采用封闭式清理筛，通过上述措施可使厂界颗粒物无组织达标排放，符合文件中“二、重点任务：（三）实施污染深度治理。推进工业炉窑全面达标排放。”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综上所述，本项目符合《黑龙江省工业炉窑大气污染综合治理方案》（黑环发</w:t>
            </w:r>
            <w:r>
              <w:rPr>
                <w:rFonts w:hint="eastAsia" w:cs="Times New Roman"/>
                <w:color w:val="auto"/>
                <w:sz w:val="24"/>
                <w:szCs w:val="24"/>
                <w:highlight w:val="none"/>
                <w:lang w:val="en-US" w:eastAsia="zh-CN"/>
              </w:rPr>
              <w:t>〔2019〕144号</w:t>
            </w:r>
            <w:r>
              <w:rPr>
                <w:rFonts w:hint="default" w:ascii="Times New Roman" w:hAnsi="Times New Roman" w:eastAsia="宋体" w:cs="Times New Roman"/>
                <w:color w:val="auto"/>
                <w:sz w:val="24"/>
                <w:szCs w:val="24"/>
                <w:highlight w:val="none"/>
                <w:lang w:val="en-US" w:eastAsia="zh-CN"/>
              </w:rPr>
              <w:t>）中的相关要求。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sz w:val="24"/>
                <w:szCs w:val="24"/>
                <w:highlight w:val="none"/>
                <w:lang w:val="en-US" w:eastAsia="zh-CN"/>
              </w:rPr>
              <w:t>与《工业炉窑大气污染综合治理方案》(环大气</w:t>
            </w:r>
            <w:r>
              <w:rPr>
                <w:rFonts w:hint="eastAsia" w:cs="Times New Roman"/>
                <w:color w:val="auto"/>
                <w:sz w:val="24"/>
                <w:szCs w:val="24"/>
                <w:highlight w:val="none"/>
                <w:lang w:val="en-US" w:eastAsia="zh-CN"/>
              </w:rPr>
              <w:t>〔2019〕56号</w:t>
            </w:r>
            <w:r>
              <w:rPr>
                <w:rFonts w:hint="eastAsia" w:ascii="Times New Roman" w:hAnsi="Times New Roman" w:eastAsia="宋体" w:cs="Times New Roman"/>
                <w:color w:val="auto"/>
                <w:sz w:val="24"/>
                <w:szCs w:val="24"/>
                <w:highlight w:val="none"/>
                <w:lang w:val="en-US" w:eastAsia="zh-CN"/>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业炉窑大气污染综合治理方案》中提出：（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加大煤气发生炉淘汰力度。2020年年底前，重点区域淘汰炉膛直径3 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本项目热风炉属于工业炉窑，但由于项目为区域粮食服务，不属于《工业炉窑大气污染综合治理方案》中所列的行业，结合黑龙江省现有粮食烘干企业的情况，目前均未要求粮食烘干企业进驻工业园区的要求。</w:t>
            </w:r>
            <w:r>
              <w:rPr>
                <w:rFonts w:hint="eastAsia" w:cs="Times New Roman"/>
                <w:color w:val="auto"/>
                <w:sz w:val="24"/>
                <w:szCs w:val="24"/>
                <w:highlight w:val="none"/>
                <w:lang w:val="en-US" w:eastAsia="zh-CN"/>
              </w:rPr>
              <w:t>同时本项目非重点行业工业炉窑，因此污染治理要求参照《排污许可证申请与核发技术规范工业炉窑》（HJ1121-2020）中可行性技术要求，本项目</w:t>
            </w:r>
            <w:r>
              <w:rPr>
                <w:rFonts w:hint="eastAsia" w:ascii="Times New Roman" w:hAnsi="Times New Roman" w:eastAsia="宋体" w:cs="Times New Roman"/>
                <w:color w:val="auto"/>
                <w:sz w:val="24"/>
                <w:szCs w:val="24"/>
                <w:highlight w:val="none"/>
                <w:lang w:val="en-US" w:eastAsia="zh-CN"/>
              </w:rPr>
              <w:t>热风炉燃料为生物质，燃生物质热风炉烟气经布袋除尘器处理后经15m高烟囱排放，颗粒物排放浓度执行《工业炉窑大气污染物排放标准》（GB9078-1996）中的表2中的二级标准，汞、SO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NOx执行《工业炉窑大气污染物排放标准》（GB9078-1996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综上分析，本项目符合《工业炉窑大气污染综合治理方案》相关要求。</w:t>
            </w:r>
          </w:p>
          <w:p>
            <w:pPr>
              <w:pStyle w:val="38"/>
              <w:rPr>
                <w:rFonts w:hint="default"/>
                <w:color w:val="auto"/>
                <w:lang w:val="en-US" w:eastAsia="zh-CN"/>
              </w:rPr>
            </w:pPr>
            <w:r>
              <w:rPr>
                <w:rFonts w:hint="eastAsia" w:ascii="Times New Roman" w:hAnsi="Times New Roman" w:eastAsia="宋体" w:cs="Times New Roman"/>
                <w:color w:val="auto"/>
                <w:sz w:val="24"/>
                <w:szCs w:val="24"/>
                <w:highlight w:val="none"/>
                <w:lang w:val="en-US" w:eastAsia="zh-CN"/>
              </w:rPr>
              <w:t>6、与《黑龙江省大气污染防治行动计划实施细则》符合性分析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本项目为热力生产和供应、农产品初加工类项目，不</w:t>
            </w:r>
            <w:r>
              <w:rPr>
                <w:rFonts w:hint="eastAsia" w:cs="Times New Roman"/>
                <w:color w:val="auto"/>
                <w:sz w:val="24"/>
                <w:szCs w:val="24"/>
                <w:highlight w:val="none"/>
                <w:lang w:val="en-US" w:eastAsia="zh-CN"/>
              </w:rPr>
              <w:t>属于</w:t>
            </w:r>
            <w:r>
              <w:rPr>
                <w:rFonts w:hint="eastAsia" w:ascii="Times New Roman" w:hAnsi="Times New Roman" w:eastAsia="宋体" w:cs="Times New Roman"/>
                <w:color w:val="auto"/>
                <w:sz w:val="24"/>
                <w:szCs w:val="24"/>
                <w:highlight w:val="none"/>
                <w:lang w:val="en-US" w:eastAsia="zh-CN"/>
              </w:rPr>
              <w:t>电力、冶金、石油石化、建材、焦化等重点行业，不属于钢铁、水泥、平板玻璃、电解铝等严重过剩产能项目，不属于上述高污染、高耗能行业，本项目燃生物质热风炉烟气经布袋除尘器处理后经15m高烟囱排放，颗粒物排放浓度执行《工业炉窑大气污染物排放标准》（GB9078-1996）中的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排放浓度执行《工业炉窑大气污染物排放标准》（GB9078-1996）中的表4中的二级标准。烟气黑度执行《工业炉窑大气污染物排放标准》（GB9078-1996）中的表2中的二级标准。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，烘干塔烘干废气经折流挡板和塔顶排气孔滤尘网过滤后排放。采取措施后厂区内污染物排放量小，对环境空气影响较小，因此本项目符合《黑龙江省大气污染防治行动计划实施细则》要求。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、与《环境空气细颗粒物污染综合防治技术政策》（中华人民共和国环境保护部公告2013年第59号）符合性分析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（十一）应加强对各类污染源的监管，确保污染治理设施稳定运行，切实落实企业环保责任。鼓励采用低能耗、低污染的生产工艺，提高各个行业的清洁生产水平，降低污染物产生量。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（十二）应制定严格、完善的国家和地方工业污染物排放标准，明确各行业排放控制要求。在环境污染严重、污染物排放量大的地区，应制定实施严格的地方排放标准或国家排放标准特别排放限值。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 xml:space="preserve">（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（十五）产生大气颗粒物及其前体物污染物的生产活动应尽量采用密闭装置，避免无组织排放；无法完全密闭的，应安装集气装置收集逸散的污染物，经净化后排放。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eastAsia" w:ascii="宋体" w:hAnsi="宋体" w:eastAsia="宋体" w:cs="宋体"/>
                <w:color w:val="auto"/>
                <w:kern w:val="0"/>
                <w:sz w:val="24"/>
                <w:highlight w:val="none"/>
              </w:rPr>
              <w:t>本项目热风炉烟</w:t>
            </w:r>
            <w:r>
              <w:rPr>
                <w:rFonts w:hint="default" w:ascii="Times New Roman" w:hAnsi="Times New Roman" w:eastAsia="宋体" w:cs="Times New Roman"/>
                <w:color w:val="auto"/>
                <w:kern w:val="0"/>
                <w:sz w:val="24"/>
                <w:highlight w:val="none"/>
              </w:rPr>
              <w:t>气经布袋除尘器处理后经15m高烟囱排放，颗粒物</w:t>
            </w:r>
            <w:r>
              <w:rPr>
                <w:rFonts w:hint="default" w:ascii="Times New Roman" w:hAnsi="Times New Roman" w:eastAsia="宋体" w:cs="Times New Roman"/>
                <w:color w:val="auto"/>
                <w:kern w:val="0"/>
                <w:sz w:val="24"/>
                <w:highlight w:val="none"/>
                <w:lang w:val="en-US" w:eastAsia="zh-CN"/>
              </w:rPr>
              <w:t>和烟气黑度</w:t>
            </w:r>
            <w:r>
              <w:rPr>
                <w:rFonts w:hint="default" w:ascii="Times New Roman" w:hAnsi="Times New Roman" w:eastAsia="宋体" w:cs="Times New Roman"/>
                <w:color w:val="auto"/>
                <w:kern w:val="0"/>
                <w:sz w:val="24"/>
                <w:highlight w:val="none"/>
              </w:rPr>
              <w:t>排放执行《工业炉窑大气污染物排放标准》（GB9078-1996）中的表2中的二级标准，SO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排放浓度执行《工业炉窑大气污染物排放标准》（GB9078-1996）中的表4中的二级标准。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highlight w:val="none"/>
                <w:lang w:val="en-US" w:eastAsia="zh-CN"/>
              </w:rPr>
            </w:pPr>
            <w:r>
              <w:rPr>
                <w:rFonts w:hint="default" w:ascii="Times New Roman" w:hAnsi="Times New Roman" w:eastAsia="宋体" w:cs="Times New Roman"/>
                <w:color w:val="auto"/>
                <w:kern w:val="0"/>
                <w:sz w:val="24"/>
                <w:highlight w:val="none"/>
              </w:rPr>
              <w:t>粮食烘干、筛选、装卸、输送生产过程中</w:t>
            </w:r>
            <w:r>
              <w:rPr>
                <w:rFonts w:hint="default" w:ascii="Times New Roman" w:hAnsi="Times New Roman" w:eastAsia="宋体" w:cs="Times New Roman"/>
                <w:color w:val="auto"/>
                <w:kern w:val="0"/>
                <w:sz w:val="24"/>
                <w:highlight w:val="none"/>
                <w:lang w:val="en-US" w:eastAsia="zh-CN"/>
              </w:rPr>
              <w:t>采取</w:t>
            </w:r>
            <w:r>
              <w:rPr>
                <w:rFonts w:hint="default" w:ascii="Times New Roman" w:hAnsi="Times New Roman" w:eastAsia="宋体" w:cs="Times New Roman"/>
                <w:color w:val="auto"/>
                <w:kern w:val="0"/>
                <w:sz w:val="24"/>
                <w:highlight w:val="none"/>
              </w:rPr>
              <w:t>烘干塔钢罩收集、储粮库密闭、封闭输送等措施</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4"/>
                <w:highlight w:val="none"/>
              </w:rPr>
              <w:t>项目采取措施符合《环境空气细颗粒物污染综合防治技术政策》（中华人民共和国环境保</w:t>
            </w:r>
            <w:r>
              <w:rPr>
                <w:rFonts w:hint="eastAsia" w:ascii="宋体" w:hAnsi="宋体" w:eastAsia="宋体" w:cs="宋体"/>
                <w:color w:val="auto"/>
                <w:sz w:val="24"/>
                <w:szCs w:val="24"/>
                <w:highlight w:val="none"/>
              </w:rPr>
              <w:t>护部公告2013年第59号）要求。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、与《</w:t>
            </w:r>
            <w:r>
              <w:rPr>
                <w:rFonts w:hint="eastAsia" w:cs="Times New Roman"/>
                <w:color w:val="auto"/>
                <w:sz w:val="24"/>
                <w:szCs w:val="24"/>
                <w:highlight w:val="none"/>
                <w:lang w:val="en-US" w:eastAsia="zh-CN"/>
              </w:rPr>
              <w:t>伊春市</w:t>
            </w:r>
            <w:r>
              <w:rPr>
                <w:rFonts w:hint="eastAsia" w:ascii="Times New Roman" w:hAnsi="Times New Roman" w:eastAsia="宋体" w:cs="Times New Roman"/>
                <w:color w:val="auto"/>
                <w:sz w:val="24"/>
                <w:szCs w:val="24"/>
                <w:highlight w:val="none"/>
                <w:lang w:val="en-US" w:eastAsia="zh-CN"/>
              </w:rPr>
              <w:t>“十四五”生态环境保护规划》符合性分析</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规划要求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组织开展重点排放单位数据报送及核查、发电行业重点排放单位开户及配额预分配和清缴。强化移动源污染治理，加强在用机动车污染治理，精细化管控道路、交通、拆迁等各类扬尘污染，降尘量大幅降低，空气质量稳步改善。</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宋体" w:hAnsi="宋体" w:eastAsia="宋体" w:cs="宋体"/>
                <w:color w:val="auto"/>
                <w:kern w:val="0"/>
                <w:sz w:val="24"/>
                <w:szCs w:val="24"/>
                <w:highlight w:val="none"/>
                <w:lang w:val="en-US" w:eastAsia="zh-CN" w:bidi="ar-SA"/>
              </w:rPr>
              <w:t>项目烘干粮食所采用的热风炉燃料为</w:t>
            </w:r>
            <w:r>
              <w:rPr>
                <w:rFonts w:hint="eastAsia" w:ascii="宋体" w:hAnsi="宋体" w:eastAsia="宋体" w:cs="宋体"/>
                <w:color w:val="auto"/>
                <w:kern w:val="0"/>
                <w:sz w:val="24"/>
                <w:szCs w:val="24"/>
                <w:highlight w:val="none"/>
                <w:lang w:val="en-US" w:eastAsia="zh-CN" w:bidi="ar-SA"/>
              </w:rPr>
              <w:t>生物质成型燃料</w:t>
            </w:r>
            <w:r>
              <w:rPr>
                <w:rFonts w:hint="default" w:ascii="宋体" w:hAnsi="宋体" w:eastAsia="宋体" w:cs="宋体"/>
                <w:color w:val="auto"/>
                <w:kern w:val="0"/>
                <w:sz w:val="24"/>
                <w:szCs w:val="24"/>
                <w:highlight w:val="none"/>
                <w:lang w:val="en-US" w:eastAsia="zh-CN" w:bidi="ar-SA"/>
              </w:rPr>
              <w:t>，同时安装布袋除尘器</w:t>
            </w:r>
            <w:r>
              <w:rPr>
                <w:rFonts w:hint="eastAsia" w:ascii="宋体" w:hAnsi="宋体" w:eastAsia="宋体" w:cs="宋体"/>
                <w:color w:val="auto"/>
                <w:kern w:val="0"/>
                <w:sz w:val="24"/>
                <w:szCs w:val="24"/>
                <w:highlight w:val="none"/>
                <w:lang w:val="en-US" w:eastAsia="zh-CN" w:bidi="ar-SA"/>
              </w:rPr>
              <w:t>，产生的废气经15m高排气筒排放</w:t>
            </w:r>
            <w:r>
              <w:rPr>
                <w:rFonts w:hint="default"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符合</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伊春市</w:t>
            </w:r>
            <w:r>
              <w:rPr>
                <w:rFonts w:hint="eastAsia" w:ascii="Times New Roman" w:hAnsi="Times New Roman" w:eastAsia="宋体" w:cs="Times New Roman"/>
                <w:color w:val="auto"/>
                <w:sz w:val="24"/>
                <w:szCs w:val="24"/>
                <w:highlight w:val="none"/>
                <w:lang w:val="en-US" w:eastAsia="zh-CN"/>
              </w:rPr>
              <w:t>“十四五”生态环境保护规划》</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9</w:t>
            </w:r>
            <w:r>
              <w:rPr>
                <w:rFonts w:hint="default" w:ascii="Times New Roman" w:hAnsi="Times New Roman" w:cs="Times New Roman"/>
                <w:color w:val="auto"/>
                <w:kern w:val="0"/>
                <w:sz w:val="24"/>
              </w:rPr>
              <w:t>、与《伊春市空气质量持续改善行动计划实施方案》</w:t>
            </w:r>
            <w:r>
              <w:rPr>
                <w:rFonts w:hint="eastAsia" w:cs="Times New Roman"/>
                <w:color w:val="auto"/>
                <w:kern w:val="0"/>
                <w:sz w:val="24"/>
                <w:lang w:val="en-US" w:eastAsia="zh-CN"/>
              </w:rPr>
              <w:t>符合性</w:t>
            </w:r>
            <w:r>
              <w:rPr>
                <w:rFonts w:hint="default" w:ascii="Times New Roman" w:hAnsi="Times New Roman" w:cs="Times New Roman"/>
                <w:color w:val="auto"/>
                <w:kern w:val="0"/>
                <w:sz w:val="24"/>
              </w:rPr>
              <w:t>分析</w:t>
            </w:r>
          </w:p>
          <w:p>
            <w:pPr>
              <w:pStyle w:val="38"/>
              <w:keepNext w:val="0"/>
              <w:keepLines w:val="0"/>
              <w:pageBreakBefore w:val="0"/>
              <w:widowControl w:val="0"/>
              <w:kinsoku/>
              <w:wordWrap/>
              <w:overflowPunct/>
              <w:topLinePunct w:val="0"/>
              <w:bidi w:val="0"/>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kern w:val="0"/>
                <w:sz w:val="24"/>
                <w:szCs w:val="24"/>
              </w:rPr>
              <w:t>实施方案</w:t>
            </w:r>
            <w:r>
              <w:rPr>
                <w:rFonts w:hint="default" w:ascii="Times New Roman" w:hAnsi="Times New Roman" w:cs="Times New Roman"/>
                <w:color w:val="auto"/>
                <w:kern w:val="0"/>
                <w:sz w:val="24"/>
                <w:szCs w:val="24"/>
                <w:lang w:val="en-US" w:eastAsia="zh-CN"/>
              </w:rPr>
              <w:t>中</w:t>
            </w:r>
            <w:r>
              <w:rPr>
                <w:rFonts w:hint="eastAsia" w:ascii="Times New Roman" w:hAnsi="Times New Roman" w:cs="Times New Roman"/>
                <w:color w:val="auto"/>
                <w:kern w:val="0"/>
                <w:sz w:val="24"/>
                <w:szCs w:val="24"/>
                <w:lang w:val="en-US" w:eastAsia="zh-CN"/>
              </w:rPr>
              <w:t>提出</w:t>
            </w:r>
            <w:r>
              <w:rPr>
                <w:rFonts w:hint="default" w:ascii="Times New Roman" w:hAnsi="Times New Roman" w:cs="Times New Roman"/>
                <w:color w:val="auto"/>
                <w:kern w:val="0"/>
                <w:sz w:val="24"/>
                <w:szCs w:val="24"/>
                <w:lang w:val="en-US" w:eastAsia="zh-CN"/>
              </w:rPr>
              <w:t>加快工业炉窑燃料清洁替代。有序推进以电代煤，积极稳妥推进以气代煤。安全稳妥推进在用高污染燃料的工业炉密改用工业余热、电能、天然气等。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sz w:val="24"/>
                <w:szCs w:val="24"/>
                <w:lang w:val="en-US" w:eastAsia="zh-CN"/>
              </w:rPr>
              <w:t>项目烘干粮食所采用的热风炉燃料为生物质成型燃料，</w:t>
            </w:r>
            <w:r>
              <w:rPr>
                <w:rFonts w:hint="eastAsia" w:ascii="Times New Roman" w:hAnsi="Times New Roman" w:cs="Times New Roman"/>
                <w:color w:val="auto"/>
                <w:sz w:val="24"/>
                <w:szCs w:val="24"/>
                <w:lang w:val="en-US" w:eastAsia="zh-CN"/>
              </w:rPr>
              <w:t>不使用煤作为燃料，根据黑龙江地区特点，黑龙江省为产粮大省，粮食烘干类项目尚未禁止以生物质为燃料，同时本项目</w:t>
            </w:r>
            <w:r>
              <w:rPr>
                <w:rFonts w:hint="default" w:ascii="Times New Roman" w:hAnsi="Times New Roman" w:eastAsia="宋体" w:cs="Times New Roman"/>
                <w:color w:val="auto"/>
                <w:sz w:val="24"/>
                <w:szCs w:val="24"/>
                <w:lang w:val="en-US" w:eastAsia="zh-CN"/>
              </w:rPr>
              <w:t>安装布袋除尘器，产生的废气经15m高排气筒排放</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更高效的处理产生炉窑烟气，因此本项目符合</w:t>
            </w:r>
            <w:r>
              <w:rPr>
                <w:rFonts w:hint="default" w:ascii="Times New Roman" w:hAnsi="Times New Roman" w:cs="Times New Roman"/>
                <w:color w:val="auto"/>
                <w:kern w:val="0"/>
                <w:sz w:val="24"/>
                <w:szCs w:val="24"/>
              </w:rPr>
              <w:t>《伊春市空气质量持续改善行动计划实施方案》</w:t>
            </w:r>
            <w:r>
              <w:rPr>
                <w:rFonts w:hint="eastAsia" w:ascii="Times New Roman" w:hAnsi="Times New Roman" w:cs="Times New Roman"/>
                <w:color w:val="auto"/>
                <w:kern w:val="0"/>
                <w:sz w:val="24"/>
                <w:szCs w:val="24"/>
                <w:lang w:val="en-US" w:eastAsia="zh-CN"/>
              </w:rPr>
              <w:t>要求。</w:t>
            </w:r>
          </w:p>
        </w:tc>
      </w:tr>
    </w:tbl>
    <w:p>
      <w:pPr>
        <w:spacing w:line="360" w:lineRule="auto"/>
        <w:outlineLvl w:val="9"/>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4" w:name="_Toc3913"/>
      <w:bookmarkStart w:id="15" w:name="_Toc20707"/>
      <w:r>
        <w:rPr>
          <w:rFonts w:hint="default" w:ascii="Times New Roman" w:hAnsi="Times New Roman" w:eastAsia="黑体" w:cs="Times New Roman"/>
          <w:snapToGrid w:val="0"/>
          <w:color w:val="auto"/>
          <w:sz w:val="30"/>
          <w:szCs w:val="30"/>
        </w:rPr>
        <w:t>二、建设项目工程分析</w:t>
      </w:r>
      <w:bookmarkEnd w:id="14"/>
      <w:bookmarkEnd w:id="15"/>
    </w:p>
    <w:tbl>
      <w:tblPr>
        <w:tblStyle w:val="30"/>
        <w:tblW w:w="1067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02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5" w:hRule="atLeast"/>
          <w:jc w:val="center"/>
        </w:trPr>
        <w:tc>
          <w:tcPr>
            <w:tcW w:w="45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10219" w:type="dxa"/>
            <w:noWrap w:val="0"/>
            <w:vAlign w:val="center"/>
          </w:tcPr>
          <w:p>
            <w:pPr>
              <w:numPr>
                <w:ilvl w:val="0"/>
                <w:numId w:val="3"/>
              </w:numPr>
              <w:spacing w:line="360" w:lineRule="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项目概况</w:t>
            </w:r>
          </w:p>
          <w:p>
            <w:pPr>
              <w:spacing w:line="360" w:lineRule="auto"/>
              <w:ind w:firstLine="480" w:firstLineChars="200"/>
              <w:textAlignment w:val="baseline"/>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rPr>
              <w:t>（</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default" w:ascii="Times New Roman" w:hAnsi="Times New Roman" w:cs="Times New Roman"/>
                <w:color w:val="auto"/>
                <w:sz w:val="24"/>
              </w:rPr>
              <w:t>占地面</w:t>
            </w:r>
            <w:r>
              <w:rPr>
                <w:rFonts w:hint="default" w:ascii="Times New Roman" w:hAnsi="Times New Roman" w:cs="Times New Roman"/>
                <w:color w:val="auto"/>
                <w:sz w:val="24"/>
                <w:szCs w:val="24"/>
              </w:rPr>
              <w:t>积：</w:t>
            </w:r>
            <w:r>
              <w:rPr>
                <w:rFonts w:hint="default" w:ascii="Times New Roman" w:hAnsi="Times New Roman" w:cs="Times New Roman"/>
                <w:color w:val="auto"/>
                <w:sz w:val="24"/>
                <w:szCs w:val="24"/>
                <w:highlight w:val="none"/>
                <w:lang w:val="en-US" w:eastAsia="zh-CN"/>
              </w:rPr>
              <w:t>本项目总占地面积</w:t>
            </w:r>
            <w:r>
              <w:rPr>
                <w:rFonts w:hint="eastAsia" w:cs="Times New Roman"/>
                <w:color w:val="auto"/>
                <w:sz w:val="24"/>
                <w:szCs w:val="24"/>
                <w:highlight w:val="none"/>
                <w:lang w:val="en-US" w:eastAsia="zh-CN"/>
              </w:rPr>
              <w:t>3900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p>
            <w:pPr>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）建设规</w:t>
            </w:r>
            <w:r>
              <w:rPr>
                <w:rFonts w:hint="default" w:ascii="Times New Roman" w:hAnsi="Times New Roman" w:eastAsia="宋体" w:cs="Times New Roman"/>
                <w:color w:val="auto"/>
                <w:sz w:val="24"/>
                <w:szCs w:val="24"/>
                <w:highlight w:val="none"/>
                <w:lang w:val="en-US" w:eastAsia="zh-CN"/>
              </w:rPr>
              <w:t>模：主要建设内容包括一台</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t/h的燃生物质热风炉，配备</w:t>
            </w:r>
            <w:r>
              <w:rPr>
                <w:rFonts w:hint="eastAsia" w:cs="Times New Roman"/>
                <w:color w:val="auto"/>
                <w:sz w:val="24"/>
                <w:szCs w:val="24"/>
                <w:highlight w:val="none"/>
                <w:lang w:val="en-US" w:eastAsia="zh-CN"/>
              </w:rPr>
              <w:t>两座</w:t>
            </w:r>
            <w:r>
              <w:rPr>
                <w:rFonts w:hint="default" w:ascii="Times New Roman" w:hAnsi="Times New Roman" w:eastAsia="宋体" w:cs="Times New Roman"/>
                <w:color w:val="auto"/>
                <w:sz w:val="24"/>
                <w:szCs w:val="24"/>
                <w:highlight w:val="none"/>
                <w:lang w:val="en-US" w:eastAsia="zh-CN"/>
              </w:rPr>
              <w:t>烘干能力为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00t/d</w:t>
            </w:r>
            <w:r>
              <w:rPr>
                <w:rFonts w:hint="eastAsia" w:cs="Times New Roman"/>
                <w:color w:val="auto"/>
                <w:sz w:val="24"/>
                <w:szCs w:val="24"/>
                <w:highlight w:val="none"/>
                <w:lang w:val="en-US" w:eastAsia="zh-CN"/>
              </w:rPr>
              <w:t>、200t/d的</w:t>
            </w:r>
            <w:r>
              <w:rPr>
                <w:rFonts w:hint="default" w:ascii="Times New Roman" w:hAnsi="Times New Roman" w:eastAsia="宋体" w:cs="Times New Roman"/>
                <w:color w:val="auto"/>
                <w:sz w:val="24"/>
                <w:szCs w:val="24"/>
                <w:highlight w:val="none"/>
                <w:lang w:val="en-US" w:eastAsia="zh-CN"/>
              </w:rPr>
              <w:t>烘干塔</w:t>
            </w:r>
            <w:r>
              <w:rPr>
                <w:rFonts w:hint="eastAsia" w:cs="Times New Roman"/>
                <w:color w:val="auto"/>
                <w:sz w:val="24"/>
                <w:szCs w:val="24"/>
                <w:highlight w:val="none"/>
                <w:lang w:val="en-US" w:eastAsia="zh-CN"/>
              </w:rPr>
              <w:t>及配套设施</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年烘干</w:t>
            </w:r>
            <w:r>
              <w:rPr>
                <w:rFonts w:hint="eastAsia"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天，年烘干玉米1</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000t。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）项目投资：该项目总投资</w:t>
            </w:r>
            <w:r>
              <w:rPr>
                <w:rFonts w:hint="eastAsia" w:cs="Times New Roman"/>
                <w:color w:val="auto"/>
                <w:sz w:val="24"/>
                <w:lang w:val="en-US" w:eastAsia="zh-CN"/>
              </w:rPr>
              <w:t>300</w:t>
            </w:r>
            <w:r>
              <w:rPr>
                <w:rFonts w:hint="default" w:ascii="Times New Roman" w:hAnsi="Times New Roman" w:cs="Times New Roman"/>
                <w:color w:val="auto"/>
                <w:sz w:val="24"/>
              </w:rPr>
              <w:t>万元</w:t>
            </w:r>
          </w:p>
          <w:p>
            <w:pPr>
              <w:spacing w:line="360" w:lineRule="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、项目建设内容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bCs/>
                <w:color w:val="auto"/>
                <w:kern w:val="0"/>
                <w:sz w:val="24"/>
                <w:szCs w:val="24"/>
                <w:highlight w:val="yellow"/>
                <w:lang w:val="en-US" w:eastAsia="zh-CN"/>
              </w:rPr>
            </w:pPr>
            <w:r>
              <w:rPr>
                <w:rFonts w:hint="default" w:ascii="Times New Roman" w:hAnsi="Times New Roman" w:cs="Times New Roman"/>
                <w:color w:val="auto"/>
                <w:sz w:val="24"/>
                <w:szCs w:val="24"/>
                <w:highlight w:val="none"/>
                <w:lang w:val="en-US" w:eastAsia="zh-CN"/>
              </w:rPr>
              <w:t>主要建设内容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包括一台</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t/h的燃生物质热风炉，配备</w:t>
            </w:r>
            <w:r>
              <w:rPr>
                <w:rFonts w:hint="eastAsia" w:cs="Times New Roman"/>
                <w:color w:val="auto"/>
                <w:sz w:val="24"/>
                <w:szCs w:val="24"/>
                <w:highlight w:val="none"/>
                <w:lang w:val="en-US" w:eastAsia="zh-CN"/>
              </w:rPr>
              <w:t>两座</w:t>
            </w:r>
            <w:r>
              <w:rPr>
                <w:rFonts w:hint="default" w:ascii="Times New Roman" w:hAnsi="Times New Roman" w:eastAsia="宋体" w:cs="Times New Roman"/>
                <w:color w:val="auto"/>
                <w:sz w:val="24"/>
                <w:szCs w:val="24"/>
                <w:highlight w:val="none"/>
                <w:lang w:val="en-US" w:eastAsia="zh-CN"/>
              </w:rPr>
              <w:t>烘干能力为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00t/d</w:t>
            </w:r>
            <w:r>
              <w:rPr>
                <w:rFonts w:hint="eastAsia" w:cs="Times New Roman"/>
                <w:color w:val="auto"/>
                <w:sz w:val="24"/>
                <w:szCs w:val="24"/>
                <w:highlight w:val="none"/>
                <w:lang w:val="en-US" w:eastAsia="zh-CN"/>
              </w:rPr>
              <w:t>、200t/d的</w:t>
            </w:r>
            <w:r>
              <w:rPr>
                <w:rFonts w:hint="default" w:ascii="Times New Roman" w:hAnsi="Times New Roman" w:eastAsia="宋体" w:cs="Times New Roman"/>
                <w:color w:val="auto"/>
                <w:sz w:val="24"/>
                <w:szCs w:val="24"/>
                <w:highlight w:val="none"/>
                <w:lang w:val="en-US" w:eastAsia="zh-CN"/>
              </w:rPr>
              <w:t>烘干塔</w:t>
            </w:r>
            <w:r>
              <w:rPr>
                <w:rFonts w:hint="eastAsia" w:cs="Times New Roman"/>
                <w:color w:val="auto"/>
                <w:sz w:val="24"/>
                <w:szCs w:val="24"/>
                <w:highlight w:val="none"/>
                <w:lang w:val="en-US" w:eastAsia="zh-CN"/>
              </w:rPr>
              <w:t>及配套设施。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本项目具体组成内容详见下表2-1。</w:t>
            </w:r>
          </w:p>
          <w:p>
            <w:pPr>
              <w:pStyle w:val="80"/>
              <w:adjustRightInd/>
              <w:snapToGrid/>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2-1 </w:t>
            </w:r>
            <w:r>
              <w:rPr>
                <w:rFonts w:hint="default" w:ascii="Times New Roman" w:hAnsi="Times New Roman" w:cs="Times New Roman"/>
                <w:b/>
                <w:bCs/>
                <w:color w:val="auto"/>
                <w:sz w:val="21"/>
                <w:szCs w:val="21"/>
              </w:rPr>
              <w:t>建设项目组成一览表</w:t>
            </w:r>
          </w:p>
          <w:tbl>
            <w:tblPr>
              <w:tblStyle w:val="30"/>
              <w:tblW w:w="999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306"/>
              <w:gridCol w:w="1250"/>
              <w:gridCol w:w="5959"/>
              <w:gridCol w:w="1482"/>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2556"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59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建设规模及内容</w:t>
                  </w:r>
                </w:p>
              </w:tc>
              <w:tc>
                <w:tcPr>
                  <w:tcW w:w="14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主体工程</w:t>
                  </w:r>
                </w:p>
              </w:tc>
              <w:tc>
                <w:tcPr>
                  <w:tcW w:w="1250"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烘干塔</w:t>
                  </w:r>
                </w:p>
              </w:tc>
              <w:tc>
                <w:tcPr>
                  <w:tcW w:w="59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val="en-US" w:eastAsia="zh-CN"/>
                    </w:rPr>
                    <w:t>座烘干塔。用于玉米的烘干，烘干能力</w:t>
                  </w:r>
                  <w:r>
                    <w:rPr>
                      <w:rFonts w:hint="eastAsia" w:cs="Times New Roman"/>
                      <w:bCs/>
                      <w:color w:val="auto"/>
                      <w:sz w:val="21"/>
                      <w:szCs w:val="21"/>
                      <w:highlight w:val="none"/>
                      <w:lang w:val="en-US" w:eastAsia="zh-CN"/>
                    </w:rPr>
                    <w:t>分别</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lang w:val="en-US" w:eastAsia="zh-CN"/>
                    </w:rPr>
                    <w:t>0 t/d</w:t>
                  </w:r>
                  <w:r>
                    <w:rPr>
                      <w:rFonts w:hint="eastAsia" w:cs="Times New Roman"/>
                      <w:bCs/>
                      <w:color w:val="auto"/>
                      <w:sz w:val="21"/>
                      <w:szCs w:val="21"/>
                      <w:highlight w:val="none"/>
                      <w:lang w:val="en-US" w:eastAsia="zh-CN"/>
                    </w:rPr>
                    <w:t>、300t/d</w:t>
                  </w:r>
                </w:p>
              </w:tc>
              <w:tc>
                <w:tcPr>
                  <w:tcW w:w="148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306"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250"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热风炉房</w:t>
                  </w:r>
                </w:p>
              </w:tc>
              <w:tc>
                <w:tcPr>
                  <w:tcW w:w="59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1座，砖混结构，建筑面积为</w:t>
                  </w:r>
                  <w:r>
                    <w:rPr>
                      <w:rFonts w:hint="eastAsia" w:cs="Times New Roman"/>
                      <w:bCs/>
                      <w:color w:val="auto"/>
                      <w:sz w:val="21"/>
                      <w:szCs w:val="21"/>
                      <w:highlight w:val="none"/>
                      <w:lang w:val="en-US" w:eastAsia="zh-CN"/>
                    </w:rPr>
                    <w:t>100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lang w:val="en-US" w:eastAsia="zh-CN"/>
                    </w:rPr>
                    <w:t>，热风炉配备布袋除尘器和15m高烟囱。</w:t>
                  </w:r>
                </w:p>
              </w:tc>
              <w:tc>
                <w:tcPr>
                  <w:tcW w:w="148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306"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储运工程</w:t>
                  </w:r>
                </w:p>
              </w:tc>
              <w:tc>
                <w:tcPr>
                  <w:tcW w:w="1250"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灰渣</w:t>
                  </w:r>
                  <w:r>
                    <w:rPr>
                      <w:rFonts w:hint="default" w:ascii="Times New Roman" w:hAnsi="Times New Roman" w:eastAsia="宋体" w:cs="Times New Roman"/>
                      <w:color w:val="auto"/>
                      <w:sz w:val="21"/>
                      <w:szCs w:val="21"/>
                      <w:highlight w:val="none"/>
                      <w:lang w:eastAsia="zh-CN"/>
                    </w:rPr>
                    <w:t>库</w:t>
                  </w:r>
                </w:p>
              </w:tc>
              <w:tc>
                <w:tcPr>
                  <w:tcW w:w="5959"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default" w:ascii="Times New Roman" w:hAnsi="Times New Roman" w:eastAsia="宋体" w:cs="Times New Roman"/>
                      <w:color w:val="auto"/>
                      <w:spacing w:val="-2"/>
                      <w:sz w:val="21"/>
                      <w:szCs w:val="21"/>
                      <w:highlight w:val="none"/>
                      <w:lang w:val="en-US" w:eastAsia="zh-CN"/>
                    </w:rPr>
                    <w:t>20m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rPr>
                    <w:t>灰渣暂存于灰渣</w:t>
                  </w:r>
                  <w:r>
                    <w:rPr>
                      <w:rFonts w:hint="default" w:ascii="Times New Roman" w:hAnsi="Times New Roman" w:eastAsia="宋体" w:cs="Times New Roman"/>
                      <w:color w:val="auto"/>
                      <w:spacing w:val="-2"/>
                      <w:sz w:val="21"/>
                      <w:szCs w:val="21"/>
                      <w:highlight w:val="none"/>
                      <w:lang w:eastAsia="zh-CN"/>
                    </w:rPr>
                    <w:t>库内，最大存储能力为</w:t>
                  </w:r>
                  <w:r>
                    <w:rPr>
                      <w:rFonts w:hint="default" w:ascii="Times New Roman" w:hAnsi="Times New Roman" w:eastAsia="宋体" w:cs="Times New Roman"/>
                      <w:color w:val="auto"/>
                      <w:spacing w:val="-2"/>
                      <w:sz w:val="21"/>
                      <w:szCs w:val="21"/>
                      <w:highlight w:val="none"/>
                      <w:lang w:val="en-US" w:eastAsia="zh-CN"/>
                    </w:rPr>
                    <w:t>25 t</w:t>
                  </w:r>
                </w:p>
              </w:tc>
              <w:tc>
                <w:tcPr>
                  <w:tcW w:w="148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306"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250" w:type="dxa"/>
                  <w:tcBorders>
                    <w:tl2br w:val="nil"/>
                    <w:tr2bl w:val="nil"/>
                  </w:tcBorders>
                  <w:shd w:val="clear" w:color="auto" w:fill="FFFFFF"/>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晾晒场</w:t>
                  </w:r>
                </w:p>
              </w:tc>
              <w:tc>
                <w:tcPr>
                  <w:tcW w:w="5959"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 xml:space="preserve"> 位于厂区内剩余空地，用于储存潮粮，厂界四周设置围墙，地面硬化</w:t>
                  </w:r>
                </w:p>
              </w:tc>
              <w:tc>
                <w:tcPr>
                  <w:tcW w:w="1482" w:type="dxa"/>
                  <w:tcBorders>
                    <w:tl2br w:val="nil"/>
                    <w:tr2bl w:val="nil"/>
                  </w:tcBorders>
                  <w:shd w:val="clear" w:color="auto" w:fill="FFFFFF"/>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306"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250" w:type="dxa"/>
                  <w:tcBorders>
                    <w:tl2br w:val="nil"/>
                    <w:tr2bl w:val="nil"/>
                  </w:tcBorders>
                  <w:shd w:val="clear" w:color="auto" w:fill="FFFFFF"/>
                  <w:noWrap w:val="0"/>
                  <w:vAlign w:val="center"/>
                </w:tcPr>
                <w:p>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粮库</w:t>
                  </w:r>
                </w:p>
              </w:tc>
              <w:tc>
                <w:tcPr>
                  <w:tcW w:w="5959" w:type="dxa"/>
                  <w:tcBorders>
                    <w:tl2br w:val="nil"/>
                    <w:tr2bl w:val="nil"/>
                  </w:tcBorders>
                  <w:shd w:val="clear" w:color="auto" w:fill="FFFFFF"/>
                  <w:noWrap w:val="0"/>
                  <w:vAlign w:val="center"/>
                </w:tcPr>
                <w:p>
                  <w:pPr>
                    <w:pStyle w:val="52"/>
                    <w:spacing w:line="240" w:lineRule="auto"/>
                    <w:ind w:firstLine="0" w:firstLineChars="0"/>
                    <w:jc w:val="center"/>
                    <w:rPr>
                      <w:rFonts w:hint="default"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建筑面积2450</w:t>
                  </w:r>
                  <w:r>
                    <w:rPr>
                      <w:rFonts w:hint="default" w:ascii="Times New Roman" w:hAnsi="Times New Roman" w:eastAsia="宋体" w:cs="Times New Roman"/>
                      <w:color w:val="auto"/>
                      <w:spacing w:val="-2"/>
                      <w:sz w:val="21"/>
                      <w:szCs w:val="21"/>
                      <w:highlight w:val="none"/>
                      <w:lang w:val="en-US" w:eastAsia="zh-CN"/>
                    </w:rPr>
                    <w:t>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color w:val="auto"/>
                      <w:szCs w:val="21"/>
                    </w:rPr>
                    <w:t>高度为</w:t>
                  </w:r>
                  <w:r>
                    <w:rPr>
                      <w:color w:val="auto"/>
                      <w:szCs w:val="21"/>
                    </w:rPr>
                    <w:t>5</w:t>
                  </w:r>
                  <w:r>
                    <w:rPr>
                      <w:rFonts w:hint="default"/>
                      <w:color w:val="auto"/>
                      <w:szCs w:val="21"/>
                    </w:rPr>
                    <w:t>m，为全封闭式。用于烘干后玉米的储存，储存能力为</w:t>
                  </w:r>
                  <w:r>
                    <w:rPr>
                      <w:rFonts w:hint="eastAsia"/>
                      <w:color w:val="auto"/>
                      <w:szCs w:val="21"/>
                      <w:lang w:val="en-US" w:eastAsia="zh-CN"/>
                    </w:rPr>
                    <w:t>5</w:t>
                  </w:r>
                  <w:r>
                    <w:rPr>
                      <w:rFonts w:hint="default"/>
                      <w:color w:val="auto"/>
                      <w:szCs w:val="21"/>
                    </w:rPr>
                    <w:t>000t。</w:t>
                  </w:r>
                </w:p>
              </w:tc>
              <w:tc>
                <w:tcPr>
                  <w:tcW w:w="1482" w:type="dxa"/>
                  <w:tcBorders>
                    <w:tl2br w:val="nil"/>
                    <w:tr2bl w:val="nil"/>
                  </w:tcBorders>
                  <w:shd w:val="clear" w:color="auto" w:fill="FFFFFF"/>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continue"/>
                  <w:tcBorders>
                    <w:tl2br w:val="nil"/>
                    <w:tr2bl w:val="nil"/>
                  </w:tcBorders>
                  <w:shd w:val="clear" w:color="auto" w:fill="auto"/>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250"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燃料库</w:t>
                  </w:r>
                </w:p>
              </w:tc>
              <w:tc>
                <w:tcPr>
                  <w:tcW w:w="5959"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eastAsia" w:eastAsia="宋体" w:cs="Times New Roman"/>
                      <w:color w:val="auto"/>
                      <w:spacing w:val="-2"/>
                      <w:sz w:val="21"/>
                      <w:szCs w:val="21"/>
                      <w:highlight w:val="none"/>
                      <w:lang w:val="en-US" w:eastAsia="zh-CN"/>
                    </w:rPr>
                    <w:t>20</w:t>
                  </w:r>
                  <w:r>
                    <w:rPr>
                      <w:rFonts w:hint="default" w:ascii="Times New Roman" w:hAnsi="Times New Roman" w:eastAsia="宋体" w:cs="Times New Roman"/>
                      <w:color w:val="auto"/>
                      <w:spacing w:val="-2"/>
                      <w:sz w:val="21"/>
                      <w:szCs w:val="21"/>
                      <w:highlight w:val="none"/>
                      <w:lang w:val="en-US" w:eastAsia="zh-CN"/>
                    </w:rPr>
                    <w:t>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eastAsia="zh-CN"/>
                    </w:rPr>
                    <w:t>燃料</w:t>
                  </w:r>
                  <w:r>
                    <w:rPr>
                      <w:rFonts w:hint="default" w:ascii="Times New Roman" w:hAnsi="Times New Roman" w:eastAsia="宋体" w:cs="Times New Roman"/>
                      <w:color w:val="auto"/>
                      <w:spacing w:val="-2"/>
                      <w:sz w:val="21"/>
                      <w:szCs w:val="21"/>
                      <w:highlight w:val="none"/>
                    </w:rPr>
                    <w:t>暂存于</w:t>
                  </w:r>
                  <w:r>
                    <w:rPr>
                      <w:rFonts w:hint="default" w:ascii="Times New Roman" w:hAnsi="Times New Roman" w:eastAsia="宋体" w:cs="Times New Roman"/>
                      <w:color w:val="auto"/>
                      <w:spacing w:val="-2"/>
                      <w:sz w:val="21"/>
                      <w:szCs w:val="21"/>
                      <w:highlight w:val="none"/>
                      <w:lang w:eastAsia="zh-CN"/>
                    </w:rPr>
                    <w:t>燃料库内，最大存储能力为</w:t>
                  </w:r>
                  <w:r>
                    <w:rPr>
                      <w:rFonts w:hint="eastAsia" w:eastAsia="宋体" w:cs="Times New Roman"/>
                      <w:color w:val="auto"/>
                      <w:spacing w:val="-2"/>
                      <w:sz w:val="21"/>
                      <w:szCs w:val="21"/>
                      <w:highlight w:val="none"/>
                      <w:lang w:val="en-US" w:eastAsia="zh-CN"/>
                    </w:rPr>
                    <w:t>50</w:t>
                  </w:r>
                  <w:r>
                    <w:rPr>
                      <w:rFonts w:hint="default" w:ascii="Times New Roman" w:hAnsi="Times New Roman" w:eastAsia="宋体" w:cs="Times New Roman"/>
                      <w:color w:val="auto"/>
                      <w:spacing w:val="-2"/>
                      <w:sz w:val="21"/>
                      <w:szCs w:val="21"/>
                      <w:highlight w:val="none"/>
                      <w:lang w:val="en-US" w:eastAsia="zh-CN"/>
                    </w:rPr>
                    <w:t xml:space="preserve"> t</w:t>
                  </w:r>
                </w:p>
              </w:tc>
              <w:tc>
                <w:tcPr>
                  <w:tcW w:w="148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2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59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项目无生产用水，生活用水</w:t>
                  </w:r>
                  <w:r>
                    <w:rPr>
                      <w:rFonts w:hint="eastAsia" w:ascii="Times New Roman" w:hAnsi="Times New Roman" w:eastAsia="宋体" w:cs="Times New Roman"/>
                      <w:color w:val="auto"/>
                      <w:sz w:val="21"/>
                      <w:szCs w:val="21"/>
                      <w:highlight w:val="none"/>
                      <w:lang w:val="en-US" w:eastAsia="zh-CN"/>
                    </w:rPr>
                    <w:t>外购桶装水</w:t>
                  </w:r>
                </w:p>
              </w:tc>
              <w:tc>
                <w:tcPr>
                  <w:tcW w:w="14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250"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59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无生产废水，员工</w:t>
                  </w:r>
                  <w:r>
                    <w:rPr>
                      <w:rFonts w:hint="eastAsia" w:ascii="Times New Roman" w:hAnsi="Times New Roman" w:eastAsia="宋体" w:cs="Times New Roman"/>
                      <w:color w:val="auto"/>
                      <w:kern w:val="0"/>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排入防渗旱厕，定期清掏外运堆肥。</w:t>
                  </w:r>
                </w:p>
              </w:tc>
              <w:tc>
                <w:tcPr>
                  <w:tcW w:w="148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250"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供热</w:t>
                  </w:r>
                </w:p>
              </w:tc>
              <w:tc>
                <w:tcPr>
                  <w:tcW w:w="59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办公室冬季</w:t>
                  </w:r>
                  <w:r>
                    <w:rPr>
                      <w:rFonts w:hint="default" w:ascii="Times New Roman" w:hAnsi="Times New Roman" w:eastAsia="宋体" w:cs="Times New Roman"/>
                      <w:color w:val="auto"/>
                      <w:sz w:val="21"/>
                      <w:szCs w:val="21"/>
                      <w:highlight w:val="none"/>
                    </w:rPr>
                    <w:t>供暖采用电取暖</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生产供热由一台</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t/h燃生物质热风炉提供</w:t>
                  </w:r>
                </w:p>
              </w:tc>
              <w:tc>
                <w:tcPr>
                  <w:tcW w:w="148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250"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59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用电由</w:t>
                  </w:r>
                  <w:r>
                    <w:rPr>
                      <w:rFonts w:hint="default" w:ascii="Times New Roman" w:hAnsi="Times New Roman" w:eastAsia="宋体" w:cs="Times New Roman"/>
                      <w:color w:val="auto"/>
                      <w:sz w:val="21"/>
                      <w:szCs w:val="21"/>
                      <w:highlight w:val="none"/>
                      <w:lang w:val="en-US" w:eastAsia="zh-CN"/>
                    </w:rPr>
                    <w:t>国家电网</w:t>
                  </w:r>
                  <w:r>
                    <w:rPr>
                      <w:rFonts w:hint="default" w:ascii="Times New Roman" w:hAnsi="Times New Roman" w:eastAsia="宋体" w:cs="Times New Roman"/>
                      <w:color w:val="auto"/>
                      <w:sz w:val="21"/>
                      <w:szCs w:val="21"/>
                      <w:highlight w:val="none"/>
                      <w:lang w:eastAsia="zh-CN"/>
                    </w:rPr>
                    <w:t>提供</w:t>
                  </w:r>
                </w:p>
              </w:tc>
              <w:tc>
                <w:tcPr>
                  <w:tcW w:w="148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306"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25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废气防治措施</w:t>
                  </w:r>
                </w:p>
              </w:tc>
              <w:tc>
                <w:tcPr>
                  <w:tcW w:w="5959"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热风炉烟气</w:t>
                  </w:r>
                  <w:r>
                    <w:rPr>
                      <w:rFonts w:hint="default" w:ascii="Times New Roman" w:hAnsi="Times New Roman" w:eastAsia="宋体" w:cs="Times New Roman"/>
                      <w:bCs/>
                      <w:color w:val="auto"/>
                      <w:sz w:val="21"/>
                      <w:szCs w:val="21"/>
                      <w:highlight w:val="none"/>
                    </w:rPr>
                    <w:t>经</w:t>
                  </w:r>
                  <w:r>
                    <w:rPr>
                      <w:rFonts w:hint="default" w:ascii="Times New Roman" w:hAnsi="Times New Roman" w:eastAsia="宋体" w:cs="Times New Roman"/>
                      <w:bCs/>
                      <w:color w:val="auto"/>
                      <w:sz w:val="21"/>
                      <w:szCs w:val="21"/>
                      <w:highlight w:val="none"/>
                      <w:lang w:eastAsia="zh-CN"/>
                    </w:rPr>
                    <w:t>布袋除尘器处理后由</w:t>
                  </w:r>
                  <w:r>
                    <w:rPr>
                      <w:rFonts w:hint="default" w:ascii="Times New Roman" w:hAnsi="Times New Roman" w:eastAsia="宋体" w:cs="Times New Roman"/>
                      <w:bCs/>
                      <w:color w:val="auto"/>
                      <w:sz w:val="21"/>
                      <w:szCs w:val="21"/>
                      <w:highlight w:val="none"/>
                    </w:rPr>
                    <w:t>15m高</w:t>
                  </w:r>
                  <w:r>
                    <w:rPr>
                      <w:rFonts w:hint="default" w:ascii="Times New Roman" w:hAnsi="Times New Roman" w:eastAsia="宋体" w:cs="Times New Roman"/>
                      <w:bCs/>
                      <w:color w:val="auto"/>
                      <w:sz w:val="21"/>
                      <w:szCs w:val="21"/>
                      <w:highlight w:val="none"/>
                      <w:lang w:eastAsia="zh-CN"/>
                    </w:rPr>
                    <w:t>烟囱</w:t>
                  </w:r>
                  <w:r>
                    <w:rPr>
                      <w:rFonts w:hint="default" w:ascii="Times New Roman" w:hAnsi="Times New Roman" w:eastAsia="宋体" w:cs="Times New Roman"/>
                      <w:bCs/>
                      <w:color w:val="auto"/>
                      <w:sz w:val="21"/>
                      <w:szCs w:val="21"/>
                      <w:highlight w:val="none"/>
                    </w:rPr>
                    <w:t>高空排放</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烟尘、SO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vertAlign w:val="baseline"/>
                      <w:lang w:val="en-US" w:eastAsia="zh-CN" w:bidi="ar"/>
                    </w:rPr>
                    <w:t>、烟气黑度均</w:t>
                  </w:r>
                  <w:r>
                    <w:rPr>
                      <w:rFonts w:hint="default" w:ascii="Times New Roman" w:hAnsi="Times New Roman" w:eastAsia="宋体" w:cs="Times New Roman"/>
                      <w:color w:val="auto"/>
                      <w:kern w:val="0"/>
                      <w:sz w:val="21"/>
                      <w:szCs w:val="21"/>
                      <w:highlight w:val="none"/>
                      <w:lang w:val="en-US" w:eastAsia="zh-CN" w:bidi="ar"/>
                    </w:rPr>
                    <w:t>满足《工业炉窑大气污染物排放标准》(GB9078-1996)中二类区标准要求</w:t>
                  </w:r>
                  <w:r>
                    <w:rPr>
                      <w:rFonts w:hint="eastAsia" w:ascii="宋体" w:hAnsi="宋体" w:eastAsia="宋体" w:cs="宋体"/>
                      <w:color w:val="auto"/>
                      <w:kern w:val="0"/>
                      <w:sz w:val="21"/>
                      <w:szCs w:val="21"/>
                      <w:highlight w:val="none"/>
                      <w:lang w:val="en-US" w:eastAsia="zh-CN" w:bidi="ar"/>
                    </w:rPr>
                    <w:t xml:space="preserve">（烟尘 </w:t>
                  </w:r>
                  <w:r>
                    <w:rPr>
                      <w:rFonts w:hint="default" w:ascii="Times New Roman" w:hAnsi="Times New Roman" w:eastAsia="宋体" w:cs="Times New Roman"/>
                      <w:color w:val="auto"/>
                      <w:kern w:val="0"/>
                      <w:sz w:val="21"/>
                      <w:szCs w:val="21"/>
                      <w:highlight w:val="none"/>
                      <w:lang w:val="en-US" w:eastAsia="zh-CN" w:bidi="ar"/>
                    </w:rPr>
                    <w:t>200mg/m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850mg/m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vertAlign w:val="baseline"/>
                      <w:lang w:val="en-US" w:eastAsia="zh-CN" w:bidi="ar"/>
                    </w:rPr>
                    <w:t>、烟气黑度（林格曼级）1</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w:t>
                  </w:r>
                </w:p>
              </w:tc>
              <w:tc>
                <w:tcPr>
                  <w:tcW w:w="1482" w:type="dxa"/>
                  <w:tcBorders>
                    <w:tl2br w:val="nil"/>
                    <w:tr2bl w:val="nil"/>
                  </w:tcBorders>
                  <w:noWrap w:val="0"/>
                  <w:vAlign w:val="center"/>
                </w:tcPr>
                <w:p>
                  <w:pPr>
                    <w:pStyle w:val="5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新</w:t>
                  </w:r>
                  <w:r>
                    <w:rPr>
                      <w:rFonts w:hint="default" w:ascii="Times New Roman" w:hAnsi="Times New Roman" w:eastAsia="宋体" w:cs="Times New Roman"/>
                      <w:bCs/>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107" w:hRule="atLeast"/>
              </w:trPr>
              <w:tc>
                <w:tcPr>
                  <w:tcW w:w="1306"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25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5959"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清选工艺采用封闭式清理筛，</w:t>
                  </w:r>
                  <w:r>
                    <w:rPr>
                      <w:rFonts w:hint="default" w:ascii="Times New Roman" w:hAnsi="Times New Roman" w:eastAsia="宋体" w:cs="Times New Roman"/>
                      <w:bCs/>
                      <w:color w:val="auto"/>
                      <w:sz w:val="21"/>
                      <w:szCs w:val="21"/>
                      <w:highlight w:val="none"/>
                      <w:lang w:eastAsia="zh-CN"/>
                    </w:rPr>
                    <w:t>烘干塔烘干废气经</w:t>
                  </w:r>
                  <w:r>
                    <w:rPr>
                      <w:rFonts w:hint="default" w:ascii="Times New Roman" w:hAnsi="Times New Roman" w:eastAsia="宋体" w:cs="Times New Roman"/>
                      <w:color w:val="auto"/>
                      <w:sz w:val="21"/>
                      <w:szCs w:val="21"/>
                      <w:highlight w:val="none"/>
                      <w:lang w:val="en-US" w:eastAsia="zh-CN"/>
                    </w:rPr>
                    <w:t>折流挡板和塔顶排气孔滤尘网过滤后排放；无组织粉尘满足《大气污染物综合排放标准》（GB16297-1996）表2无组织排放监控浓度限值标准。</w:t>
                  </w:r>
                  <w:r>
                    <w:rPr>
                      <w:rFonts w:hint="eastAsia" w:cs="Times New Roman"/>
                      <w:color w:val="auto"/>
                      <w:sz w:val="21"/>
                      <w:szCs w:val="21"/>
                      <w:highlight w:val="none"/>
                      <w:lang w:val="en-US" w:eastAsia="zh-CN"/>
                    </w:rPr>
                    <w:t>工业炉窑周边无组织颗粒物满足</w:t>
                  </w:r>
                  <w:r>
                    <w:rPr>
                      <w:rFonts w:hint="default" w:ascii="Times New Roman" w:hAnsi="Times New Roman" w:eastAsia="宋体" w:cs="Times New Roman"/>
                      <w:color w:val="auto"/>
                      <w:kern w:val="0"/>
                      <w:sz w:val="21"/>
                      <w:szCs w:val="21"/>
                      <w:highlight w:val="none"/>
                      <w:lang w:val="en-US" w:eastAsia="zh-CN" w:bidi="ar"/>
                    </w:rPr>
                    <w:t>《工业炉窑大气污染物排放标准》(GB9078-1996)</w:t>
                  </w:r>
                  <w:r>
                    <w:rPr>
                      <w:rFonts w:hint="eastAsia" w:ascii="Times New Roman" w:hAnsi="Times New Roman" w:eastAsia="宋体" w:cs="Times New Roman"/>
                      <w:color w:val="auto"/>
                      <w:kern w:val="0"/>
                      <w:sz w:val="21"/>
                      <w:szCs w:val="21"/>
                      <w:highlight w:val="none"/>
                      <w:lang w:val="en-US" w:eastAsia="zh-CN" w:bidi="ar"/>
                    </w:rPr>
                    <w:t>要求</w:t>
                  </w:r>
                </w:p>
              </w:tc>
              <w:tc>
                <w:tcPr>
                  <w:tcW w:w="148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2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噪声防治措施</w:t>
                  </w:r>
                </w:p>
              </w:tc>
              <w:tc>
                <w:tcPr>
                  <w:tcW w:w="59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选用低噪声设备，采取隔声、减振等措施，厂房密闭</w:t>
                  </w:r>
                  <w:r>
                    <w:rPr>
                      <w:rFonts w:hint="default" w:ascii="Times New Roman" w:hAnsi="Times New Roman" w:eastAsia="宋体" w:cs="Times New Roman"/>
                      <w:color w:val="auto"/>
                      <w:sz w:val="21"/>
                      <w:szCs w:val="21"/>
                      <w:highlight w:val="none"/>
                      <w:lang w:eastAsia="zh-CN"/>
                    </w:rPr>
                    <w:t>等措施，本项目厂界噪声可满足《工业企业厂界环境噪声排放标准》（GB12348-2008）中</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类标准要求</w:t>
                  </w:r>
                </w:p>
              </w:tc>
              <w:tc>
                <w:tcPr>
                  <w:tcW w:w="14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2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固体废物防治措施</w:t>
                  </w:r>
                </w:p>
              </w:tc>
              <w:tc>
                <w:tcPr>
                  <w:tcW w:w="59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pacing w:val="-10"/>
                      <w:sz w:val="21"/>
                      <w:szCs w:val="21"/>
                      <w:highlight w:val="none"/>
                      <w:lang w:val="en-US" w:eastAsia="zh-CN"/>
                    </w:rPr>
                    <w:t>生活垃圾、清理原粮中的杂质（泥沙）、粉尘集中收集，依托当地环卫部门统一收集处理。炉渣、除尘灰集中收集，外售综合利用。</w:t>
                  </w:r>
                  <w:r>
                    <w:rPr>
                      <w:rFonts w:hint="eastAsia" w:cs="Times New Roman"/>
                      <w:bCs/>
                      <w:color w:val="auto"/>
                      <w:spacing w:val="-10"/>
                      <w:sz w:val="21"/>
                      <w:szCs w:val="21"/>
                      <w:highlight w:val="none"/>
                      <w:lang w:val="en-US" w:eastAsia="zh-CN"/>
                    </w:rPr>
                    <w:t>废布袋由厂家回收处置。不合格粮食外售给周边农户。</w:t>
                  </w:r>
                </w:p>
              </w:tc>
              <w:tc>
                <w:tcPr>
                  <w:tcW w:w="14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306"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2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废水防治措施</w:t>
                  </w:r>
                </w:p>
              </w:tc>
              <w:tc>
                <w:tcPr>
                  <w:tcW w:w="59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无生产废水产生，员工生活污水排入防渗旱厕定期清掏外运堆肥</w:t>
                  </w:r>
                  <w:r>
                    <w:rPr>
                      <w:rFonts w:hint="default" w:ascii="Times New Roman" w:hAnsi="Times New Roman" w:eastAsia="宋体" w:cs="Times New Roman"/>
                      <w:color w:val="auto"/>
                      <w:kern w:val="0"/>
                      <w:sz w:val="21"/>
                      <w:szCs w:val="21"/>
                      <w:highlight w:val="none"/>
                      <w:lang w:val="en-US" w:eastAsia="zh-CN"/>
                    </w:rPr>
                    <w:t>。</w:t>
                  </w:r>
                </w:p>
              </w:tc>
              <w:tc>
                <w:tcPr>
                  <w:tcW w:w="14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新建</w:t>
                  </w:r>
                </w:p>
              </w:tc>
            </w:tr>
          </w:tbl>
          <w:p>
            <w:pPr>
              <w:spacing w:line="240" w:lineRule="auto"/>
              <w:ind w:firstLine="3162" w:firstLineChars="150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-2  产品方案表</w:t>
            </w:r>
          </w:p>
          <w:tbl>
            <w:tblPr>
              <w:tblStyle w:val="30"/>
              <w:tblpPr w:leftFromText="181" w:rightFromText="181" w:bottomFromText="142" w:vertAnchor="text" w:tblpXSpec="center" w:tblpY="1"/>
              <w:tblW w:w="85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2"/>
              <w:gridCol w:w="2369"/>
              <w:gridCol w:w="956"/>
              <w:gridCol w:w="1935"/>
              <w:gridCol w:w="2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36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产品名称</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 位</w:t>
                  </w:r>
                </w:p>
              </w:tc>
              <w:tc>
                <w:tcPr>
                  <w:tcW w:w="1935"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年产量</w:t>
                  </w:r>
                </w:p>
              </w:tc>
              <w:tc>
                <w:tcPr>
                  <w:tcW w:w="244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369"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玉米</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吨</w:t>
                  </w:r>
                </w:p>
              </w:tc>
              <w:tc>
                <w:tcPr>
                  <w:tcW w:w="193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0"/>
                      <w:highlight w:val="none"/>
                      <w:lang w:val="en-US" w:eastAsia="zh-CN"/>
                    </w:rPr>
                    <w:t>10000</w:t>
                  </w:r>
                </w:p>
              </w:tc>
              <w:tc>
                <w:tcPr>
                  <w:tcW w:w="2444" w:type="dxa"/>
                  <w:noWrap w:val="0"/>
                  <w:vAlign w:val="center"/>
                </w:tcPr>
                <w:p>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烘</w:t>
                  </w:r>
                  <w:r>
                    <w:rPr>
                      <w:rFonts w:hint="default" w:ascii="Times New Roman" w:hAnsi="Times New Roman" w:cs="Times New Roman"/>
                      <w:color w:val="auto"/>
                      <w:szCs w:val="21"/>
                      <w:highlight w:val="none"/>
                      <w:lang w:eastAsia="zh-CN"/>
                    </w:rPr>
                    <w:t>干</w:t>
                  </w:r>
                  <w:r>
                    <w:rPr>
                      <w:rFonts w:hint="eastAsia" w:cs="Times New Roman"/>
                      <w:color w:val="auto"/>
                      <w:szCs w:val="21"/>
                      <w:highlight w:val="none"/>
                      <w:lang w:val="en-US" w:eastAsia="zh-CN"/>
                    </w:rPr>
                    <w:t>前</w:t>
                  </w:r>
                </w:p>
              </w:tc>
            </w:tr>
          </w:tbl>
          <w:p>
            <w:pPr>
              <w:spacing w:line="360" w:lineRule="auto"/>
              <w:ind w:firstLine="482" w:firstLineChars="200"/>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主要生产设备及设备参数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本项目主要生产及辅助设备见下表。</w:t>
            </w:r>
          </w:p>
          <w:p>
            <w:pPr>
              <w:pStyle w:val="80"/>
              <w:adjustRightInd/>
              <w:snapToGrid/>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eastAsia="zh-CN"/>
              </w:rPr>
              <w:t>主要设备</w:t>
            </w:r>
            <w:r>
              <w:rPr>
                <w:rFonts w:hint="default" w:ascii="Times New Roman" w:hAnsi="Times New Roman" w:cs="Times New Roman"/>
                <w:b/>
                <w:bCs/>
                <w:color w:val="auto"/>
                <w:sz w:val="21"/>
                <w:szCs w:val="21"/>
              </w:rPr>
              <w:t>一览表</w:t>
            </w:r>
          </w:p>
          <w:tbl>
            <w:tblPr>
              <w:tblStyle w:val="30"/>
              <w:tblW w:w="1000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4643"/>
              <w:gridCol w:w="1707"/>
              <w:gridCol w:w="1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4643"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70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99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464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清粮筛</w:t>
                  </w:r>
                </w:p>
              </w:tc>
              <w:tc>
                <w:tcPr>
                  <w:tcW w:w="170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99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464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传送带</w:t>
                  </w:r>
                </w:p>
              </w:tc>
              <w:tc>
                <w:tcPr>
                  <w:tcW w:w="170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99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4643"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提升机</w:t>
                  </w:r>
                </w:p>
              </w:tc>
              <w:tc>
                <w:tcPr>
                  <w:tcW w:w="1707"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台</w:t>
                  </w:r>
                </w:p>
              </w:tc>
              <w:tc>
                <w:tcPr>
                  <w:tcW w:w="199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4643"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平行机</w:t>
                  </w:r>
                </w:p>
              </w:tc>
              <w:tc>
                <w:tcPr>
                  <w:tcW w:w="1707"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台</w:t>
                  </w:r>
                </w:p>
              </w:tc>
              <w:tc>
                <w:tcPr>
                  <w:tcW w:w="1994" w:type="dxa"/>
                  <w:noWrap w:val="0"/>
                  <w:vAlign w:val="center"/>
                </w:tcPr>
                <w:p>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4643"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风机</w:t>
                  </w:r>
                </w:p>
              </w:tc>
              <w:tc>
                <w:tcPr>
                  <w:tcW w:w="170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99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 w:hRule="atLeast"/>
                <w:jc w:val="center"/>
              </w:trPr>
              <w:tc>
                <w:tcPr>
                  <w:tcW w:w="1659"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w:t>
                  </w:r>
                </w:p>
              </w:tc>
              <w:tc>
                <w:tcPr>
                  <w:tcW w:w="4643"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热风炉</w:t>
                  </w:r>
                </w:p>
              </w:tc>
              <w:tc>
                <w:tcPr>
                  <w:tcW w:w="170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99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7</w:t>
                  </w:r>
                </w:p>
              </w:tc>
              <w:tc>
                <w:tcPr>
                  <w:tcW w:w="4643" w:type="dxa"/>
                  <w:noWrap w:val="0"/>
                  <w:vAlign w:val="center"/>
                </w:tcPr>
                <w:p>
                  <w:pPr>
                    <w:pStyle w:val="74"/>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烘干塔</w:t>
                  </w:r>
                </w:p>
              </w:tc>
              <w:tc>
                <w:tcPr>
                  <w:tcW w:w="1707"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座</w:t>
                  </w:r>
                </w:p>
              </w:tc>
              <w:tc>
                <w:tcPr>
                  <w:tcW w:w="1994"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p>
              </w:tc>
              <w:tc>
                <w:tcPr>
                  <w:tcW w:w="4643"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布袋除尘器</w:t>
                  </w:r>
                </w:p>
              </w:tc>
              <w:tc>
                <w:tcPr>
                  <w:tcW w:w="170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2"/>
                      <w:sz w:val="21"/>
                      <w:szCs w:val="21"/>
                      <w:lang w:val="en-US" w:eastAsia="zh-CN" w:bidi="ar-SA"/>
                    </w:rPr>
                    <w:t>台</w:t>
                  </w:r>
                </w:p>
              </w:tc>
              <w:tc>
                <w:tcPr>
                  <w:tcW w:w="199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65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4643"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地中衡</w:t>
                  </w:r>
                </w:p>
              </w:tc>
              <w:tc>
                <w:tcPr>
                  <w:tcW w:w="1707"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台</w:t>
                  </w:r>
                </w:p>
              </w:tc>
              <w:tc>
                <w:tcPr>
                  <w:tcW w:w="199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主要原辅材料及燃料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highlight w:val="none"/>
              </w:rPr>
              <w:t>原辅材料用量见下表。</w:t>
            </w:r>
          </w:p>
          <w:p>
            <w:pPr>
              <w:pStyle w:val="80"/>
              <w:adjustRightInd/>
              <w:snapToGrid/>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lang w:eastAsia="zh-CN"/>
              </w:rPr>
              <w:t>原、辅材料情况</w:t>
            </w:r>
            <w:r>
              <w:rPr>
                <w:rFonts w:hint="default" w:ascii="Times New Roman" w:hAnsi="Times New Roman" w:cs="Times New Roman"/>
                <w:b/>
                <w:bCs/>
                <w:color w:val="auto"/>
                <w:sz w:val="21"/>
                <w:szCs w:val="21"/>
                <w:highlight w:val="none"/>
              </w:rPr>
              <w:t>一览表</w:t>
            </w:r>
          </w:p>
          <w:tbl>
            <w:tblPr>
              <w:tblStyle w:val="30"/>
              <w:tblW w:w="999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321"/>
              <w:gridCol w:w="2267"/>
              <w:gridCol w:w="45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2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32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26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459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2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321"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玉米潮粮</w:t>
                  </w:r>
                </w:p>
              </w:tc>
              <w:tc>
                <w:tcPr>
                  <w:tcW w:w="2267"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0000</w:t>
                  </w:r>
                  <w:r>
                    <w:rPr>
                      <w:rFonts w:hint="default" w:ascii="Times New Roman" w:hAnsi="Times New Roman" w:cs="Times New Roman"/>
                      <w:color w:val="auto"/>
                      <w:szCs w:val="21"/>
                      <w:highlight w:val="none"/>
                    </w:rPr>
                    <w:t>t/a</w:t>
                  </w:r>
                </w:p>
              </w:tc>
              <w:tc>
                <w:tcPr>
                  <w:tcW w:w="459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向当地农户收购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2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232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生物质压块燃料</w:t>
                  </w:r>
                </w:p>
              </w:tc>
              <w:tc>
                <w:tcPr>
                  <w:tcW w:w="2267"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 w:val="21"/>
                      <w:szCs w:val="21"/>
                      <w:highlight w:val="none"/>
                      <w:lang w:val="en-US" w:eastAsia="zh-CN"/>
                    </w:rPr>
                    <w:t>702</w:t>
                  </w:r>
                  <w:r>
                    <w:rPr>
                      <w:rFonts w:hint="default" w:ascii="Times New Roman" w:hAnsi="Times New Roman" w:cs="Times New Roman"/>
                      <w:color w:val="auto"/>
                      <w:szCs w:val="21"/>
                      <w:highlight w:val="none"/>
                      <w:lang w:val="en-US" w:eastAsia="zh-CN"/>
                    </w:rPr>
                    <w:t>t/a</w:t>
                  </w:r>
                </w:p>
              </w:tc>
              <w:tc>
                <w:tcPr>
                  <w:tcW w:w="4591"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向附近燃料生产商购买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2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232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新鲜水</w:t>
                  </w:r>
                </w:p>
              </w:tc>
              <w:tc>
                <w:tcPr>
                  <w:tcW w:w="2267"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olor w:val="auto"/>
                      <w:lang w:val="en-US" w:eastAsia="zh-CN"/>
                    </w:rPr>
                    <w:t>11.2</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rPr>
                    <w:t>/a</w:t>
                  </w:r>
                </w:p>
              </w:tc>
              <w:tc>
                <w:tcPr>
                  <w:tcW w:w="4591"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外购</w:t>
                  </w:r>
                </w:p>
              </w:tc>
            </w:tr>
          </w:tbl>
          <w:p>
            <w:pPr>
              <w:jc w:val="center"/>
              <w:rPr>
                <w:rFonts w:hint="default" w:ascii="Times New Roman" w:hAnsi="Times New Roman" w:eastAsia="黑体" w:cs="Times New Roman"/>
                <w:b/>
                <w:bCs/>
                <w:color w:val="auto"/>
                <w:kern w:val="2"/>
                <w:sz w:val="21"/>
                <w:szCs w:val="21"/>
                <w:highlight w:val="none"/>
                <w:lang w:val="en-US" w:eastAsia="zh-CN" w:bidi="ar-SA"/>
              </w:rPr>
            </w:pPr>
            <w:r>
              <w:rPr>
                <w:rFonts w:hint="default" w:ascii="Times New Roman" w:hAnsi="Times New Roman" w:eastAsia="黑体" w:cs="Times New Roman"/>
                <w:b/>
                <w:bCs/>
                <w:color w:val="auto"/>
                <w:kern w:val="2"/>
                <w:sz w:val="21"/>
                <w:szCs w:val="21"/>
                <w:highlight w:val="none"/>
                <w:lang w:val="en-US" w:eastAsia="zh-CN" w:bidi="ar-SA"/>
              </w:rPr>
              <w:t>表2-</w:t>
            </w:r>
            <w:r>
              <w:rPr>
                <w:rFonts w:hint="eastAsia" w:ascii="Times New Roman" w:hAnsi="Times New Roman" w:eastAsia="黑体" w:cs="Times New Roman"/>
                <w:b/>
                <w:bCs/>
                <w:color w:val="auto"/>
                <w:kern w:val="2"/>
                <w:sz w:val="21"/>
                <w:szCs w:val="21"/>
                <w:highlight w:val="none"/>
                <w:lang w:val="en-US" w:eastAsia="zh-CN" w:bidi="ar-SA"/>
              </w:rPr>
              <w:t>5</w:t>
            </w:r>
            <w:r>
              <w:rPr>
                <w:rFonts w:hint="default" w:ascii="Times New Roman" w:hAnsi="Times New Roman" w:eastAsia="黑体" w:cs="Times New Roman"/>
                <w:b/>
                <w:bCs/>
                <w:color w:val="auto"/>
                <w:kern w:val="2"/>
                <w:sz w:val="21"/>
                <w:szCs w:val="21"/>
                <w:highlight w:val="none"/>
                <w:lang w:val="en-US" w:eastAsia="zh-CN" w:bidi="ar-SA"/>
              </w:rPr>
              <w:t xml:space="preserve"> 物料平衡表</w:t>
            </w:r>
          </w:p>
          <w:tbl>
            <w:tblPr>
              <w:tblStyle w:val="31"/>
              <w:tblW w:w="99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76"/>
              <w:gridCol w:w="1819"/>
              <w:gridCol w:w="3097"/>
              <w:gridCol w:w="1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原料</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进料量（t/a）</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产出</w:t>
                  </w:r>
                </w:p>
              </w:tc>
              <w:tc>
                <w:tcPr>
                  <w:tcW w:w="190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出料量（t/a）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玉米（含水率为29%）</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10000</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玉米（含水率为14%）</w:t>
                  </w:r>
                </w:p>
              </w:tc>
              <w:tc>
                <w:tcPr>
                  <w:tcW w:w="190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4"/>
                      <w:szCs w:val="24"/>
                      <w:highlight w:val="none"/>
                      <w:u w:val="none"/>
                      <w:lang w:val="en-US" w:eastAsia="zh-CN" w:bidi="ar-SA"/>
                    </w:rPr>
                  </w:pPr>
                  <w:r>
                    <w:rPr>
                      <w:rFonts w:hint="eastAsia" w:cs="Times New Roman"/>
                      <w:bCs/>
                      <w:color w:val="auto"/>
                      <w:szCs w:val="21"/>
                      <w:highlight w:val="none"/>
                      <w:lang w:val="en-US" w:eastAsia="zh-CN"/>
                    </w:rPr>
                    <w:t>8249.762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装卸、输送工序粉尘</w:t>
                  </w:r>
                </w:p>
              </w:tc>
              <w:tc>
                <w:tcPr>
                  <w:tcW w:w="190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4.238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筛选工序粉尘</w:t>
                  </w:r>
                </w:p>
              </w:tc>
              <w:tc>
                <w:tcPr>
                  <w:tcW w:w="190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粮食杂质</w:t>
                  </w:r>
                </w:p>
              </w:tc>
              <w:tc>
                <w:tcPr>
                  <w:tcW w:w="190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蒸发水量</w:t>
                  </w:r>
                </w:p>
              </w:tc>
              <w:tc>
                <w:tcPr>
                  <w:tcW w:w="190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32"/>
                      <w:highlight w:val="none"/>
                      <w:lang w:val="en-US" w:eastAsia="zh-CN"/>
                    </w:rPr>
                    <w:t>1743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烘干工序粉尘</w:t>
                  </w:r>
                </w:p>
              </w:tc>
              <w:tc>
                <w:tcPr>
                  <w:tcW w:w="190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176"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合计</w:t>
                  </w:r>
                </w:p>
              </w:tc>
              <w:tc>
                <w:tcPr>
                  <w:tcW w:w="1819"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w:t>
                  </w:r>
                  <w:r>
                    <w:rPr>
                      <w:rFonts w:hint="eastAsia" w:cs="Times New Roman"/>
                      <w:bCs/>
                      <w:color w:val="auto"/>
                      <w:szCs w:val="21"/>
                      <w:highlight w:val="none"/>
                      <w:lang w:val="en-US" w:eastAsia="zh-CN"/>
                    </w:rPr>
                    <w:t>0000</w:t>
                  </w:r>
                </w:p>
              </w:tc>
              <w:tc>
                <w:tcPr>
                  <w:tcW w:w="309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合计</w:t>
                  </w:r>
                </w:p>
              </w:tc>
              <w:tc>
                <w:tcPr>
                  <w:tcW w:w="1907" w:type="dxa"/>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10000</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s="Times New Roman"/>
                <w:b/>
                <w:bCs/>
                <w:color w:val="auto"/>
                <w:kern w:val="0"/>
                <w:sz w:val="24"/>
                <w:szCs w:val="24"/>
                <w:lang w:val="en-US" w:eastAsia="zh-CN"/>
              </w:rPr>
            </w:pPr>
            <w:r>
              <w:rPr>
                <w:rFonts w:hint="eastAsia" w:cs="Times New Roman"/>
                <w:b/>
                <w:bCs/>
                <w:color w:val="auto"/>
                <w:kern w:val="0"/>
                <w:sz w:val="24"/>
                <w:szCs w:val="24"/>
                <w:lang w:val="en-US" w:eastAsia="zh-CN"/>
              </w:rPr>
              <w:drawing>
                <wp:inline distT="0" distB="0" distL="114300" distR="114300">
                  <wp:extent cx="6351905" cy="1061720"/>
                  <wp:effectExtent l="0" t="0" r="0" b="0"/>
                  <wp:docPr id="10" name="ECB019B1-382A-4266-B25C-5B523AA43C14-1" descr="C:/Users/WY001/AppData/Local/Temp/wps.vsEEe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1" descr="C:/Users/WY001/AppData/Local/Temp/wps.vsEEeGwps"/>
                          <pic:cNvPicPr>
                            <a:picLocks noChangeAspect="1"/>
                          </pic:cNvPicPr>
                        </pic:nvPicPr>
                        <pic:blipFill>
                          <a:blip r:embed="rId11"/>
                          <a:stretch>
                            <a:fillRect/>
                          </a:stretch>
                        </pic:blipFill>
                        <pic:spPr>
                          <a:xfrm>
                            <a:off x="0" y="0"/>
                            <a:ext cx="6351905" cy="1061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图2-1物料平衡图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生物质压块燃料消耗量计算：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w:t>
            </w:r>
            <w:r>
              <w:rPr>
                <w:rFonts w:hint="default" w:ascii="Times New Roman" w:hAnsi="Times New Roman" w:eastAsia="宋体" w:cs="Times New Roman"/>
                <w:color w:val="auto"/>
                <w:kern w:val="0"/>
                <w:sz w:val="24"/>
                <w:szCs w:val="24"/>
                <w:highlight w:val="none"/>
                <w:lang w:val="en-US" w:eastAsia="zh-CN"/>
              </w:rPr>
              <w:t>进厂潮粮经初步筛选清除杂质后，进入烘干塔进行烘干的潮粮为</w:t>
            </w:r>
            <w:r>
              <w:rPr>
                <w:rFonts w:hint="eastAsia" w:cs="Times New Roman"/>
                <w:color w:val="auto"/>
                <w:kern w:val="0"/>
                <w:sz w:val="24"/>
                <w:szCs w:val="24"/>
                <w:highlight w:val="none"/>
                <w:lang w:val="en-US" w:eastAsia="zh-CN"/>
              </w:rPr>
              <w:t>9996</w:t>
            </w:r>
            <w:r>
              <w:rPr>
                <w:rFonts w:hint="default" w:ascii="Times New Roman" w:hAnsi="Times New Roman" w:eastAsia="宋体" w:cs="Times New Roman"/>
                <w:color w:val="auto"/>
                <w:kern w:val="0"/>
                <w:sz w:val="24"/>
                <w:szCs w:val="24"/>
                <w:highlight w:val="none"/>
                <w:lang w:val="en-US" w:eastAsia="zh-CN"/>
              </w:rPr>
              <w:t>t/a，含水率平均29%，要求烘干后的干粮含水率为14%。</w:t>
            </w:r>
            <w:r>
              <w:rPr>
                <w:rFonts w:hint="default" w:ascii="Times New Roman" w:hAnsi="Times New Roman" w:eastAsia="宋体" w:cs="Times New Roman"/>
                <w:color w:val="auto"/>
                <w:kern w:val="0"/>
                <w:sz w:val="24"/>
                <w:szCs w:val="24"/>
                <w:lang w:val="en-US" w:eastAsia="zh-CN"/>
              </w:rPr>
              <w:t>则烘干过程水分蒸发量按照下方公式计算：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position w:val="-10"/>
                <w:sz w:val="24"/>
                <w:szCs w:val="24"/>
                <w:lang w:val="en-US" w:eastAsia="zh-CN"/>
              </w:rPr>
              <w:object>
                <v:shape id="_x0000_i1025" o:spt="75" type="#_x0000_t75" style="height:17pt;width:132.95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式中：W：水分蒸发量，t/a；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G：处理量（本项目为</w:t>
            </w:r>
            <w:r>
              <w:rPr>
                <w:rFonts w:hint="eastAsia" w:cs="Times New Roman"/>
                <w:color w:val="auto"/>
                <w:kern w:val="0"/>
                <w:sz w:val="24"/>
                <w:szCs w:val="24"/>
                <w:lang w:val="en-US" w:eastAsia="zh-CN"/>
              </w:rPr>
              <w:t>9996</w:t>
            </w:r>
            <w:r>
              <w:rPr>
                <w:rFonts w:hint="default" w:ascii="Times New Roman" w:hAnsi="Times New Roman" w:eastAsia="宋体" w:cs="Times New Roman"/>
                <w:color w:val="auto"/>
                <w:kern w:val="0"/>
                <w:sz w:val="24"/>
                <w:szCs w:val="24"/>
                <w:lang w:val="en-US" w:eastAsia="zh-CN"/>
              </w:rPr>
              <w:t xml:space="preserve"> 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1</w:t>
            </w:r>
            <w:r>
              <w:rPr>
                <w:rFonts w:hint="default" w:ascii="Times New Roman" w:hAnsi="Times New Roman" w:eastAsia="宋体" w:cs="Times New Roman"/>
                <w:color w:val="auto"/>
                <w:kern w:val="0"/>
                <w:sz w:val="24"/>
                <w:szCs w:val="24"/>
                <w:lang w:val="en-US" w:eastAsia="zh-CN"/>
              </w:rPr>
              <w:t>：进料含水量百分数（本项目为29）；</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：出料含水量百分数（本项目为14）；</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则水分蒸发量为</w:t>
            </w:r>
            <w:r>
              <w:rPr>
                <w:rFonts w:hint="eastAsia" w:cs="Times New Roman"/>
                <w:color w:val="auto"/>
                <w:kern w:val="0"/>
                <w:sz w:val="24"/>
                <w:szCs w:val="24"/>
                <w:lang w:val="en-US" w:eastAsia="zh-CN"/>
              </w:rPr>
              <w:t>1743</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本项目热风炉热效率为80%，生物质燃料的收到基低位发热量为</w:t>
            </w:r>
            <w:r>
              <w:rPr>
                <w:rFonts w:hint="eastAsia" w:cs="Times New Roman"/>
                <w:color w:val="auto"/>
                <w:kern w:val="0"/>
                <w:sz w:val="24"/>
                <w:szCs w:val="24"/>
                <w:lang w:val="en-US" w:eastAsia="zh-CN"/>
              </w:rPr>
              <w:t>16.77</w:t>
            </w:r>
            <w:r>
              <w:rPr>
                <w:rFonts w:hint="default" w:ascii="Times New Roman" w:hAnsi="Times New Roman" w:eastAsia="宋体" w:cs="Times New Roman"/>
                <w:color w:val="auto"/>
                <w:kern w:val="0"/>
                <w:sz w:val="24"/>
                <w:szCs w:val="24"/>
                <w:lang w:val="en-US" w:eastAsia="zh-CN"/>
              </w:rPr>
              <w:t>MJ/kg，参考尹协镇《粮食烘干过程中不同外部条件对烘干能耗的影响》中的数据“每烘干1kg水能耗取5400kJ/kg”，本项目所需生物质压块燃料量按照下方公式计算：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position w:val="-28"/>
                <w:lang w:val="en-US" w:eastAsia="zh-CN"/>
              </w:rPr>
              <w:object>
                <v:shape id="_x0000_i1026" o:spt="75" type="#_x0000_t75" style="height:33pt;width:87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式中：M：生物质压块燃料消耗量，t/a；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e：烘干单位质量水的能耗，取5400kJ/kg，即5400MJ/t；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m：水分蒸发量，本项目为</w:t>
            </w:r>
            <w:r>
              <w:rPr>
                <w:rFonts w:hint="eastAsia" w:cs="Times New Roman"/>
                <w:color w:val="auto"/>
                <w:kern w:val="0"/>
                <w:sz w:val="24"/>
                <w:szCs w:val="24"/>
                <w:lang w:val="en-US" w:eastAsia="zh-CN"/>
              </w:rPr>
              <w:t>1743</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Q：生物质压块燃料的收到基低位发热量，本项目为</w:t>
            </w:r>
            <w:r>
              <w:rPr>
                <w:rFonts w:hint="eastAsia" w:cs="Times New Roman"/>
                <w:color w:val="auto"/>
                <w:kern w:val="0"/>
                <w:sz w:val="24"/>
                <w:szCs w:val="24"/>
                <w:lang w:val="en-US" w:eastAsia="zh-CN"/>
              </w:rPr>
              <w:t>16.77</w:t>
            </w:r>
            <w:r>
              <w:rPr>
                <w:rFonts w:hint="default" w:ascii="Times New Roman" w:hAnsi="Times New Roman" w:eastAsia="宋体" w:cs="Times New Roman"/>
                <w:color w:val="auto"/>
                <w:kern w:val="0"/>
                <w:sz w:val="24"/>
                <w:szCs w:val="24"/>
                <w:lang w:val="en-US" w:eastAsia="zh-CN"/>
              </w:rPr>
              <w:t>MJ/kg；</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      η：热风炉热效率，本项目为80%。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则本项目生物质压</w:t>
            </w:r>
            <w:r>
              <w:rPr>
                <w:rFonts w:hint="eastAsia" w:ascii="Times New Roman" w:hAnsi="Times New Roman" w:eastAsia="宋体" w:cs="Times New Roman"/>
                <w:color w:val="auto"/>
                <w:kern w:val="0"/>
                <w:sz w:val="24"/>
                <w:szCs w:val="24"/>
                <w:lang w:val="en-US" w:eastAsia="zh-CN"/>
              </w:rPr>
              <w:t>块</w:t>
            </w:r>
            <w:r>
              <w:rPr>
                <w:rFonts w:hint="default" w:ascii="Times New Roman" w:hAnsi="Times New Roman" w:eastAsia="宋体" w:cs="Times New Roman"/>
                <w:color w:val="auto"/>
                <w:kern w:val="0"/>
                <w:sz w:val="24"/>
                <w:szCs w:val="24"/>
                <w:lang w:val="en-US" w:eastAsia="zh-CN"/>
              </w:rPr>
              <w:t>燃料消耗量为</w:t>
            </w:r>
            <w:r>
              <w:rPr>
                <w:rFonts w:hint="eastAsia" w:cs="Times New Roman"/>
                <w:color w:val="auto"/>
                <w:kern w:val="0"/>
                <w:sz w:val="24"/>
                <w:szCs w:val="24"/>
                <w:lang w:val="en-US" w:eastAsia="zh-CN"/>
              </w:rPr>
              <w:t>702</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③水量计算：</w:t>
            </w:r>
          </w:p>
          <w:p>
            <w:pPr>
              <w:pStyle w:val="38"/>
              <w:rPr>
                <w:rFonts w:hint="default"/>
                <w:color w:val="auto"/>
                <w:lang w:val="en-US" w:eastAsia="zh-CN"/>
              </w:rPr>
            </w:pPr>
            <w:r>
              <w:rPr>
                <w:rFonts w:hint="eastAsia" w:ascii="Times New Roman" w:hAnsi="Times New Roman" w:eastAsia="宋体" w:cs="Times New Roman"/>
                <w:color w:val="auto"/>
                <w:kern w:val="0"/>
                <w:sz w:val="24"/>
                <w:szCs w:val="24"/>
                <w:lang w:val="en-US" w:eastAsia="zh-CN"/>
              </w:rPr>
              <w:t>（1）生活用水</w:t>
            </w:r>
          </w:p>
          <w:p>
            <w:pPr>
              <w:pStyle w:val="27"/>
              <w:tabs>
                <w:tab w:val="left" w:pos="1485"/>
              </w:tabs>
              <w:adjustRightInd w:val="0"/>
              <w:snapToGrid w:val="0"/>
              <w:spacing w:after="0" w:line="360" w:lineRule="auto"/>
              <w:ind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本项目生活用水量根据</w:t>
            </w:r>
            <w:r>
              <w:rPr>
                <w:rFonts w:hint="default" w:ascii="Times New Roman" w:hAnsi="Times New Roman" w:cs="Times New Roman"/>
                <w:color w:val="auto"/>
                <w:sz w:val="24"/>
                <w:szCs w:val="24"/>
                <w:highlight w:val="none"/>
              </w:rPr>
              <w:t>黑龙江省地方标准</w:t>
            </w:r>
            <w:r>
              <w:rPr>
                <w:rFonts w:hint="default" w:ascii="Times New Roman" w:hAnsi="Times New Roman" w:eastAsia="宋体" w:cs="Times New Roman"/>
                <w:color w:val="auto"/>
                <w:kern w:val="0"/>
                <w:sz w:val="24"/>
                <w:szCs w:val="24"/>
                <w:highlight w:val="none"/>
                <w:lang w:val="en-US" w:eastAsia="zh-CN"/>
              </w:rPr>
              <w:t>《用水定额》（DB23/T727-2021）表H.2确定，用水定额为80L/（人·d），本项目劳动定员</w:t>
            </w:r>
            <w:r>
              <w:rPr>
                <w:rFonts w:hint="eastAsia" w:cs="Times New Roman"/>
                <w:color w:val="auto"/>
                <w:kern w:val="0"/>
                <w:sz w:val="24"/>
                <w:szCs w:val="24"/>
                <w:highlight w:val="none"/>
                <w:lang w:val="en-US" w:eastAsia="zh-CN"/>
              </w:rPr>
              <w:t>7</w:t>
            </w:r>
            <w:r>
              <w:rPr>
                <w:rFonts w:hint="default" w:ascii="Times New Roman" w:hAnsi="Times New Roman" w:eastAsia="宋体" w:cs="Times New Roman"/>
                <w:color w:val="auto"/>
                <w:kern w:val="0"/>
                <w:sz w:val="24"/>
                <w:szCs w:val="24"/>
                <w:highlight w:val="none"/>
                <w:lang w:val="en-US" w:eastAsia="zh-CN"/>
              </w:rPr>
              <w:t>人，则本项目生活用水为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56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11.2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pPr>
              <w:pStyle w:val="91"/>
              <w:ind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（2）生活污水</w:t>
            </w:r>
          </w:p>
          <w:p>
            <w:pPr>
              <w:pStyle w:val="91"/>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生活污</w:t>
            </w:r>
            <w:r>
              <w:rPr>
                <w:rFonts w:hint="default" w:ascii="Times New Roman" w:hAnsi="Times New Roman" w:eastAsia="宋体" w:cs="Times New Roman"/>
                <w:color w:val="auto"/>
                <w:kern w:val="0"/>
                <w:sz w:val="24"/>
                <w:szCs w:val="24"/>
                <w:highlight w:val="none"/>
                <w:lang w:val="en-US" w:eastAsia="zh-CN"/>
              </w:rPr>
              <w:t>水产污系数为0.8，则</w:t>
            </w:r>
            <w:r>
              <w:rPr>
                <w:rFonts w:hint="eastAsia" w:ascii="Times New Roman" w:hAnsi="Times New Roman" w:eastAsia="宋体" w:cs="Times New Roman"/>
                <w:color w:val="auto"/>
                <w:kern w:val="0"/>
                <w:sz w:val="24"/>
                <w:szCs w:val="24"/>
                <w:highlight w:val="none"/>
                <w:lang w:val="en-US" w:eastAsia="zh-CN"/>
              </w:rPr>
              <w:t>本项目废水</w:t>
            </w:r>
            <w:r>
              <w:rPr>
                <w:rFonts w:hint="default" w:ascii="Times New Roman" w:hAnsi="Times New Roman" w:eastAsia="宋体" w:cs="Times New Roman"/>
                <w:color w:val="auto"/>
                <w:kern w:val="0"/>
                <w:sz w:val="24"/>
                <w:szCs w:val="24"/>
                <w:highlight w:val="none"/>
                <w:lang w:val="en-US" w:eastAsia="zh-CN"/>
              </w:rPr>
              <w:t>产生量为</w:t>
            </w:r>
            <w:r>
              <w:rPr>
                <w:rFonts w:hint="eastAsia" w:cs="Times New Roman"/>
                <w:color w:val="auto"/>
                <w:kern w:val="0"/>
                <w:sz w:val="24"/>
                <w:szCs w:val="24"/>
                <w:highlight w:val="none"/>
                <w:lang w:val="en-US" w:eastAsia="zh-CN"/>
              </w:rPr>
              <w:t>0.448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8.96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生活污水排入防渗旱厕定期清掏，外运堆肥。</w:t>
            </w:r>
          </w:p>
          <w:p>
            <w:pPr>
              <w:spacing w:line="360" w:lineRule="auto"/>
              <w:ind w:firstLine="482" w:firstLineChars="200"/>
              <w:jc w:val="center"/>
              <w:rPr>
                <w:rFonts w:hint="eastAsia" w:cs="Times New Roman"/>
                <w:b/>
                <w:bCs/>
                <w:color w:val="auto"/>
                <w:kern w:val="0"/>
                <w:sz w:val="24"/>
                <w:szCs w:val="24"/>
                <w:lang w:val="en-US" w:eastAsia="zh-CN"/>
              </w:rPr>
            </w:pPr>
            <w:r>
              <w:rPr>
                <w:rFonts w:hint="eastAsia" w:cs="Times New Roman"/>
                <w:b/>
                <w:bCs/>
                <w:color w:val="auto"/>
                <w:kern w:val="0"/>
                <w:sz w:val="24"/>
                <w:szCs w:val="24"/>
                <w:lang w:val="en-US" w:eastAsia="zh-CN"/>
              </w:rPr>
              <w:drawing>
                <wp:inline distT="0" distB="0" distL="114300" distR="114300">
                  <wp:extent cx="5223510" cy="1026160"/>
                  <wp:effectExtent l="0" t="0" r="0" b="0"/>
                  <wp:docPr id="8" name="ECB019B1-382A-4266-B25C-5B523AA43C14-2" descr="C:/Users/WY001/AppData/Local/Temp/wps.aARtK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2" descr="C:/Users/WY001/AppData/Local/Temp/wps.aARtKewps"/>
                          <pic:cNvPicPr>
                            <a:picLocks noChangeAspect="1"/>
                          </pic:cNvPicPr>
                        </pic:nvPicPr>
                        <pic:blipFill>
                          <a:blip r:embed="rId16"/>
                          <a:stretch>
                            <a:fillRect/>
                          </a:stretch>
                        </pic:blipFill>
                        <pic:spPr>
                          <a:xfrm>
                            <a:off x="0" y="0"/>
                            <a:ext cx="5223510" cy="1026160"/>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color w:val="auto"/>
                <w:sz w:val="24"/>
                <w:szCs w:val="24"/>
                <w:highlight w:val="none"/>
                <w:lang w:eastAsia="zh-CN"/>
              </w:rPr>
            </w:pPr>
            <w:r>
              <w:rPr>
                <w:rFonts w:hint="eastAsia" w:cs="Times New Roman"/>
                <w:b/>
                <w:bCs/>
                <w:color w:val="auto"/>
                <w:kern w:val="0"/>
                <w:sz w:val="24"/>
                <w:szCs w:val="24"/>
                <w:lang w:val="en-US" w:eastAsia="zh-CN"/>
              </w:rPr>
              <w:t>图2-2水平衡图（单位</w:t>
            </w:r>
            <w:r>
              <w:rPr>
                <w:rFonts w:hint="default" w:ascii="Times New Roman" w:hAnsi="Times New Roman" w:eastAsia="宋体" w:cs="Times New Roman"/>
                <w:b/>
                <w:bCs/>
                <w:color w:val="auto"/>
                <w:kern w:val="0"/>
                <w:sz w:val="24"/>
                <w:szCs w:val="24"/>
                <w:highlight w:val="none"/>
                <w:lang w:val="en-US" w:eastAsia="zh-CN"/>
              </w:rPr>
              <w:t>m</w:t>
            </w:r>
            <w:r>
              <w:rPr>
                <w:rFonts w:hint="default" w:ascii="Times New Roman" w:hAnsi="Times New Roman" w:eastAsia="宋体" w:cs="Times New Roman"/>
                <w:b/>
                <w:bCs/>
                <w:color w:val="auto"/>
                <w:kern w:val="0"/>
                <w:sz w:val="24"/>
                <w:szCs w:val="24"/>
                <w:highlight w:val="none"/>
                <w:vertAlign w:val="superscript"/>
                <w:lang w:val="en-US" w:eastAsia="zh-CN"/>
              </w:rPr>
              <w:t>3</w:t>
            </w:r>
            <w:r>
              <w:rPr>
                <w:rFonts w:hint="eastAsia" w:cs="Times New Roman"/>
                <w:b/>
                <w:bCs/>
                <w:color w:val="auto"/>
                <w:kern w:val="0"/>
                <w:sz w:val="24"/>
                <w:szCs w:val="24"/>
                <w:lang w:val="en-US" w:eastAsia="zh-CN"/>
              </w:rPr>
              <w:t>/d）</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供电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lang w:val="en-US" w:eastAsia="zh-CN"/>
              </w:rPr>
              <w:t>国家电网</w:t>
            </w:r>
            <w:r>
              <w:rPr>
                <w:rFonts w:hint="default" w:ascii="Times New Roman" w:hAnsi="Times New Roman" w:eastAsia="宋体" w:cs="Times New Roman"/>
                <w:color w:val="auto"/>
                <w:sz w:val="24"/>
                <w:szCs w:val="24"/>
                <w:highlight w:val="none"/>
                <w:lang w:eastAsia="zh-CN"/>
              </w:rPr>
              <w:t>提供</w:t>
            </w:r>
            <w:r>
              <w:rPr>
                <w:rFonts w:hint="default" w:ascii="Times New Roman" w:hAnsi="Times New Roman" w:eastAsia="宋体" w:cs="Times New Roman"/>
                <w:color w:val="auto"/>
                <w:sz w:val="24"/>
                <w:szCs w:val="24"/>
                <w:highlight w:val="none"/>
                <w:lang w:val="zh-CN"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供</w:t>
            </w:r>
            <w:r>
              <w:rPr>
                <w:rFonts w:hint="default" w:ascii="Times New Roman" w:hAnsi="Times New Roman" w:eastAsia="宋体" w:cs="Times New Roman"/>
                <w:color w:val="auto"/>
                <w:sz w:val="24"/>
                <w:szCs w:val="24"/>
                <w:highlight w:val="none"/>
                <w:lang w:eastAsia="zh-CN"/>
              </w:rPr>
              <w:t>热</w:t>
            </w:r>
          </w:p>
          <w:p>
            <w:pPr>
              <w:keepNext w:val="0"/>
              <w:keepLines w:val="0"/>
              <w:pageBreakBefore w:val="0"/>
              <w:widowControl w:val="0"/>
              <w:kinsoku/>
              <w:wordWrap/>
              <w:topLinePunct w:val="0"/>
              <w:bidi w:val="0"/>
              <w:snapToGrid/>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办公室冬季</w:t>
            </w:r>
            <w:r>
              <w:rPr>
                <w:rFonts w:hint="default" w:ascii="Times New Roman" w:hAnsi="Times New Roman" w:eastAsia="宋体" w:cs="Times New Roman"/>
                <w:color w:val="auto"/>
                <w:sz w:val="24"/>
                <w:szCs w:val="24"/>
                <w:highlight w:val="none"/>
              </w:rPr>
              <w:t>供暖采用电取暖；</w:t>
            </w:r>
            <w:r>
              <w:rPr>
                <w:rFonts w:hint="default" w:ascii="Times New Roman" w:hAnsi="Times New Roman" w:eastAsia="宋体" w:cs="Times New Roman"/>
                <w:color w:val="auto"/>
                <w:sz w:val="24"/>
                <w:szCs w:val="24"/>
                <w:highlight w:val="none"/>
                <w:lang w:val="en-US" w:eastAsia="zh-CN"/>
              </w:rPr>
              <w:t>生产供热由一台</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t/h生物质的热风炉提供，燃料为生物质成型燃料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燃料消耗量为</w:t>
            </w:r>
            <w:r>
              <w:rPr>
                <w:rFonts w:hint="eastAsia" w:cs="Times New Roman"/>
                <w:color w:val="auto"/>
                <w:kern w:val="0"/>
                <w:sz w:val="24"/>
                <w:szCs w:val="24"/>
                <w:lang w:val="en-US" w:eastAsia="zh-CN"/>
              </w:rPr>
              <w:t>702</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rPr>
              <w:t>本项目建成后</w:t>
            </w:r>
            <w:r>
              <w:rPr>
                <w:rFonts w:hint="default" w:ascii="Times New Roman" w:hAnsi="Times New Roman" w:cs="Times New Roman"/>
                <w:color w:val="auto"/>
                <w:kern w:val="0"/>
                <w:sz w:val="24"/>
                <w:szCs w:val="24"/>
                <w:highlight w:val="none"/>
                <w:lang w:val="en-US" w:eastAsia="zh-CN"/>
              </w:rPr>
              <w:t>工作人员约</w:t>
            </w:r>
            <w:r>
              <w:rPr>
                <w:rFonts w:hint="eastAsia" w:cs="Times New Roman"/>
                <w:color w:val="auto"/>
                <w:kern w:val="0"/>
                <w:sz w:val="24"/>
                <w:szCs w:val="24"/>
                <w:highlight w:val="none"/>
                <w:lang w:val="en-US" w:eastAsia="zh-CN"/>
              </w:rPr>
              <w:t>7</w:t>
            </w:r>
            <w:r>
              <w:rPr>
                <w:rFonts w:hint="default" w:ascii="Times New Roman" w:hAnsi="Times New Roman" w:cs="Times New Roman"/>
                <w:color w:val="auto"/>
                <w:kern w:val="0"/>
                <w:sz w:val="24"/>
                <w:szCs w:val="24"/>
                <w:highlight w:val="none"/>
                <w:lang w:val="en-US" w:eastAsia="zh-CN"/>
              </w:rPr>
              <w:t>人，烘干塔年工作</w:t>
            </w:r>
            <w:r>
              <w:rPr>
                <w:rFonts w:hint="eastAsia" w:cs="Times New Roman"/>
                <w:color w:val="auto"/>
                <w:kern w:val="0"/>
                <w:sz w:val="24"/>
                <w:szCs w:val="24"/>
                <w:highlight w:val="none"/>
                <w:lang w:val="en-US" w:eastAsia="zh-CN"/>
              </w:rPr>
              <w:t>20</w:t>
            </w:r>
            <w:r>
              <w:rPr>
                <w:rFonts w:hint="default" w:ascii="Times New Roman" w:hAnsi="Times New Roman" w:cs="Times New Roman"/>
                <w:color w:val="auto"/>
                <w:kern w:val="0"/>
                <w:sz w:val="24"/>
                <w:szCs w:val="24"/>
                <w:highlight w:val="none"/>
                <w:lang w:val="en-US" w:eastAsia="zh-CN"/>
              </w:rPr>
              <w:t>天。烘干塔及热风炉实际运行时长合计</w:t>
            </w:r>
            <w:r>
              <w:rPr>
                <w:rFonts w:hint="eastAsia" w:cs="Times New Roman"/>
                <w:color w:val="auto"/>
                <w:kern w:val="0"/>
                <w:sz w:val="24"/>
                <w:szCs w:val="24"/>
                <w:highlight w:val="none"/>
                <w:lang w:val="en-US" w:eastAsia="zh-CN"/>
              </w:rPr>
              <w:t>480</w:t>
            </w:r>
            <w:r>
              <w:rPr>
                <w:rFonts w:hint="default" w:ascii="Times New Roman" w:hAnsi="Times New Roman" w:cs="Times New Roman"/>
                <w:color w:val="auto"/>
                <w:kern w:val="0"/>
                <w:sz w:val="24"/>
                <w:szCs w:val="24"/>
                <w:highlight w:val="none"/>
                <w:lang w:val="en-US" w:eastAsia="zh-CN"/>
              </w:rPr>
              <w:t>h/a。全厂员工年工作</w:t>
            </w:r>
            <w:r>
              <w:rPr>
                <w:rFonts w:hint="eastAsia" w:cs="Times New Roman"/>
                <w:color w:val="auto"/>
                <w:kern w:val="0"/>
                <w:sz w:val="24"/>
                <w:szCs w:val="24"/>
                <w:highlight w:val="none"/>
                <w:lang w:val="en-US" w:eastAsia="zh-CN"/>
              </w:rPr>
              <w:t>20</w:t>
            </w:r>
            <w:r>
              <w:rPr>
                <w:rFonts w:hint="default" w:ascii="Times New Roman" w:hAnsi="Times New Roman" w:cs="Times New Roman"/>
                <w:color w:val="auto"/>
                <w:kern w:val="0"/>
                <w:sz w:val="24"/>
                <w:szCs w:val="24"/>
                <w:highlight w:val="none"/>
                <w:lang w:val="en-US" w:eastAsia="zh-CN"/>
              </w:rPr>
              <w:t>天。</w:t>
            </w:r>
          </w:p>
          <w:p>
            <w:pPr>
              <w:widowControl/>
              <w:spacing w:line="360" w:lineRule="auto"/>
              <w:rPr>
                <w:b/>
                <w:bCs/>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w:t>
            </w:r>
            <w:r>
              <w:rPr>
                <w:b/>
                <w:bCs/>
                <w:color w:val="auto"/>
                <w:kern w:val="0"/>
                <w:sz w:val="24"/>
                <w:highlight w:val="none"/>
              </w:rPr>
              <w:t>环保投资</w:t>
            </w:r>
          </w:p>
          <w:p>
            <w:pPr>
              <w:spacing w:line="360" w:lineRule="auto"/>
              <w:ind w:firstLine="480" w:firstLineChars="200"/>
              <w:rPr>
                <w:b/>
                <w:color w:val="auto"/>
                <w:sz w:val="24"/>
                <w:highlight w:val="yellow"/>
              </w:rPr>
            </w:pPr>
            <w:r>
              <w:rPr>
                <w:color w:val="auto"/>
                <w:sz w:val="24"/>
                <w:highlight w:val="none"/>
              </w:rPr>
              <w:t>本项目总投资</w:t>
            </w:r>
            <w:r>
              <w:rPr>
                <w:rFonts w:hint="eastAsia"/>
                <w:color w:val="auto"/>
                <w:sz w:val="24"/>
                <w:highlight w:val="none"/>
                <w:lang w:val="en-US" w:eastAsia="zh-CN"/>
              </w:rPr>
              <w:t>300</w:t>
            </w:r>
            <w:r>
              <w:rPr>
                <w:color w:val="auto"/>
                <w:sz w:val="24"/>
                <w:highlight w:val="none"/>
              </w:rPr>
              <w:t>万元，环保投资</w:t>
            </w:r>
            <w:r>
              <w:rPr>
                <w:rFonts w:hint="eastAsia"/>
                <w:color w:val="auto"/>
                <w:sz w:val="24"/>
                <w:highlight w:val="none"/>
                <w:lang w:val="en-US" w:eastAsia="zh-CN"/>
              </w:rPr>
              <w:t>15</w:t>
            </w:r>
            <w:r>
              <w:rPr>
                <w:color w:val="auto"/>
                <w:sz w:val="24"/>
                <w:highlight w:val="none"/>
              </w:rPr>
              <w:t>万元，环保总投资占项目总投资的</w:t>
            </w:r>
            <w:r>
              <w:rPr>
                <w:rFonts w:hint="eastAsia"/>
                <w:color w:val="auto"/>
                <w:sz w:val="24"/>
                <w:highlight w:val="none"/>
                <w:lang w:val="en-US" w:eastAsia="zh-CN"/>
              </w:rPr>
              <w:t>5.00</w:t>
            </w:r>
            <w:r>
              <w:rPr>
                <w:color w:val="auto"/>
                <w:sz w:val="24"/>
                <w:highlight w:val="none"/>
              </w:rPr>
              <w:t>%。环保投资详见表</w:t>
            </w:r>
            <w:r>
              <w:rPr>
                <w:rFonts w:hint="eastAsia"/>
                <w:color w:val="auto"/>
                <w:sz w:val="24"/>
                <w:highlight w:val="none"/>
                <w:lang w:val="en-US" w:eastAsia="zh-CN"/>
              </w:rPr>
              <w:t>2-5</w:t>
            </w:r>
            <w:r>
              <w:rPr>
                <w:color w:val="auto"/>
                <w:sz w:val="24"/>
                <w:highlight w:val="none"/>
              </w:rPr>
              <w:t>。</w:t>
            </w:r>
          </w:p>
          <w:p>
            <w:pPr>
              <w:spacing w:line="240" w:lineRule="auto"/>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2-5</w:t>
            </w:r>
            <w:r>
              <w:rPr>
                <w:b/>
                <w:color w:val="auto"/>
                <w:sz w:val="21"/>
                <w:szCs w:val="21"/>
                <w:highlight w:val="none"/>
              </w:rPr>
              <w:t xml:space="preserve"> 环保投资一览表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570"/>
              <w:gridCol w:w="1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13" w:type="dxa"/>
                  <w:noWrap w:val="0"/>
                  <w:vAlign w:val="center"/>
                </w:tcPr>
                <w:p>
                  <w:pPr>
                    <w:overflowPunct w:val="0"/>
                    <w:jc w:val="center"/>
                    <w:rPr>
                      <w:color w:val="auto"/>
                      <w:szCs w:val="21"/>
                      <w:highlight w:val="none"/>
                    </w:rPr>
                  </w:pPr>
                  <w:r>
                    <w:rPr>
                      <w:color w:val="auto"/>
                      <w:szCs w:val="21"/>
                      <w:highlight w:val="none"/>
                    </w:rPr>
                    <w:t>类别</w:t>
                  </w:r>
                </w:p>
              </w:tc>
              <w:tc>
                <w:tcPr>
                  <w:tcW w:w="5570" w:type="dxa"/>
                  <w:noWrap w:val="0"/>
                  <w:vAlign w:val="center"/>
                </w:tcPr>
                <w:p>
                  <w:pPr>
                    <w:overflowPunct w:val="0"/>
                    <w:jc w:val="center"/>
                    <w:rPr>
                      <w:color w:val="auto"/>
                      <w:szCs w:val="21"/>
                      <w:highlight w:val="none"/>
                    </w:rPr>
                  </w:pPr>
                  <w:r>
                    <w:rPr>
                      <w:color w:val="auto"/>
                      <w:szCs w:val="21"/>
                      <w:highlight w:val="none"/>
                    </w:rPr>
                    <w:t>治理措施</w:t>
                  </w:r>
                </w:p>
              </w:tc>
              <w:tc>
                <w:tcPr>
                  <w:tcW w:w="1621" w:type="dxa"/>
                  <w:noWrap w:val="0"/>
                  <w:vAlign w:val="center"/>
                </w:tcPr>
                <w:p>
                  <w:pPr>
                    <w:overflowPunct w:val="0"/>
                    <w:jc w:val="center"/>
                    <w:rPr>
                      <w:color w:val="auto"/>
                      <w:szCs w:val="21"/>
                      <w:highlight w:val="none"/>
                    </w:rPr>
                  </w:pPr>
                  <w:r>
                    <w:rPr>
                      <w:color w:val="auto"/>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13" w:type="dxa"/>
                  <w:vMerge w:val="restart"/>
                  <w:noWrap w:val="0"/>
                  <w:vAlign w:val="center"/>
                </w:tcPr>
                <w:p>
                  <w:pPr>
                    <w:overflowPunct w:val="0"/>
                    <w:jc w:val="center"/>
                    <w:rPr>
                      <w:color w:val="auto"/>
                      <w:szCs w:val="21"/>
                      <w:highlight w:val="none"/>
                    </w:rPr>
                  </w:pPr>
                  <w:r>
                    <w:rPr>
                      <w:color w:val="auto"/>
                      <w:szCs w:val="21"/>
                      <w:highlight w:val="none"/>
                    </w:rPr>
                    <w:t>废气</w:t>
                  </w:r>
                </w:p>
              </w:tc>
              <w:tc>
                <w:tcPr>
                  <w:tcW w:w="5570" w:type="dxa"/>
                  <w:noWrap w:val="0"/>
                  <w:vAlign w:val="center"/>
                </w:tcPr>
                <w:p>
                  <w:pPr>
                    <w:overflowPunct w:val="0"/>
                    <w:jc w:val="center"/>
                    <w:rPr>
                      <w:color w:val="auto"/>
                      <w:szCs w:val="21"/>
                      <w:highlight w:val="none"/>
                    </w:rPr>
                  </w:pPr>
                  <w:r>
                    <w:rPr>
                      <w:rFonts w:hint="eastAsia"/>
                      <w:color w:val="auto"/>
                      <w:szCs w:val="21"/>
                      <w:highlight w:val="none"/>
                    </w:rPr>
                    <w:t>管道接口全封闭、圆筒筛</w:t>
                  </w:r>
                  <w:r>
                    <w:rPr>
                      <w:rFonts w:hint="eastAsia"/>
                      <w:color w:val="auto"/>
                      <w:szCs w:val="21"/>
                      <w:highlight w:val="none"/>
                      <w:lang w:val="en-US" w:eastAsia="zh-CN"/>
                    </w:rPr>
                    <w:t>封闭</w:t>
                  </w:r>
                  <w:r>
                    <w:rPr>
                      <w:rFonts w:hint="eastAsia"/>
                      <w:color w:val="auto"/>
                      <w:szCs w:val="21"/>
                      <w:highlight w:val="none"/>
                    </w:rPr>
                    <w:t>以及封闭粮食输送机</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热风炉烟气</w:t>
                  </w:r>
                  <w:r>
                    <w:rPr>
                      <w:rFonts w:hint="eastAsia" w:ascii="Times New Roman" w:hAnsi="Times New Roman"/>
                      <w:bCs/>
                      <w:color w:val="auto"/>
                      <w:szCs w:val="21"/>
                      <w:highlight w:val="none"/>
                      <w:lang w:eastAsia="zh-CN"/>
                    </w:rPr>
                    <w:t>通过</w:t>
                  </w:r>
                  <w:r>
                    <w:rPr>
                      <w:rFonts w:ascii="Times New Roman" w:hAnsi="Times New Roman"/>
                      <w:bCs/>
                      <w:color w:val="auto"/>
                      <w:szCs w:val="21"/>
                      <w:highlight w:val="none"/>
                    </w:rPr>
                    <w:t>布袋除尘器</w:t>
                  </w:r>
                  <w:r>
                    <w:rPr>
                      <w:rFonts w:hint="eastAsia"/>
                      <w:color w:val="auto"/>
                      <w:szCs w:val="21"/>
                      <w:highlight w:val="none"/>
                      <w:lang w:val="en-US" w:eastAsia="zh-CN"/>
                    </w:rPr>
                    <w:t>+15</w:t>
                  </w:r>
                  <w:r>
                    <w:rPr>
                      <w:rFonts w:hint="eastAsia"/>
                      <w:color w:val="auto"/>
                      <w:szCs w:val="21"/>
                      <w:highlight w:val="none"/>
                    </w:rPr>
                    <w:t>m高</w:t>
                  </w:r>
                  <w:r>
                    <w:rPr>
                      <w:rFonts w:hint="eastAsia"/>
                      <w:color w:val="auto"/>
                      <w:szCs w:val="21"/>
                      <w:highlight w:val="none"/>
                      <w:lang w:eastAsia="zh-CN"/>
                    </w:rPr>
                    <w:t>烟囱</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储粮仓封闭</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highlight w:val="none"/>
                    </w:rPr>
                    <w:t>塔体外围整体自带金属防尘网</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szCs w:val="21"/>
                      <w:highlight w:val="none"/>
                    </w:rPr>
                    <w:t>输送机安装防止扬尘挡板</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313" w:type="dxa"/>
                  <w:noWrap w:val="0"/>
                  <w:vAlign w:val="center"/>
                </w:tcPr>
                <w:p>
                  <w:pPr>
                    <w:overflowPunct w:val="0"/>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5570" w:type="dxa"/>
                  <w:noWrap w:val="0"/>
                  <w:vAlign w:val="center"/>
                </w:tcPr>
                <w:p>
                  <w:pPr>
                    <w:overflowPunct w:val="0"/>
                    <w:jc w:val="center"/>
                    <w:rPr>
                      <w:rFonts w:hint="eastAsia" w:eastAsia="宋体"/>
                      <w:color w:val="auto"/>
                      <w:szCs w:val="21"/>
                      <w:highlight w:val="none"/>
                      <w:lang w:val="en-US" w:eastAsia="zh-CN"/>
                    </w:rPr>
                  </w:pPr>
                  <w:r>
                    <w:rPr>
                      <w:rFonts w:hint="eastAsia"/>
                      <w:color w:val="auto"/>
                      <w:szCs w:val="21"/>
                      <w:highlight w:val="none"/>
                      <w:lang w:val="en-US" w:eastAsia="zh-CN"/>
                    </w:rPr>
                    <w:t>防渗旱厕</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jc w:val="center"/>
              </w:trPr>
              <w:tc>
                <w:tcPr>
                  <w:tcW w:w="1313" w:type="dxa"/>
                  <w:noWrap w:val="0"/>
                  <w:vAlign w:val="center"/>
                </w:tcPr>
                <w:p>
                  <w:pPr>
                    <w:overflowPunct w:val="0"/>
                    <w:jc w:val="center"/>
                    <w:rPr>
                      <w:color w:val="auto"/>
                      <w:szCs w:val="21"/>
                      <w:highlight w:val="none"/>
                    </w:rPr>
                  </w:pPr>
                  <w:r>
                    <w:rPr>
                      <w:color w:val="auto"/>
                      <w:szCs w:val="21"/>
                      <w:highlight w:val="none"/>
                    </w:rPr>
                    <w:t>固废</w:t>
                  </w: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垃圾箱</w:t>
                  </w:r>
                  <w:r>
                    <w:rPr>
                      <w:rFonts w:hint="eastAsia"/>
                      <w:color w:val="auto"/>
                      <w:highlight w:val="none"/>
                      <w:lang w:eastAsia="zh-CN"/>
                    </w:rPr>
                    <w:t>、灰渣间</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color w:val="auto"/>
                      <w:szCs w:val="21"/>
                      <w:highlight w:val="none"/>
                    </w:rPr>
                  </w:pPr>
                  <w:r>
                    <w:rPr>
                      <w:color w:val="auto"/>
                      <w:szCs w:val="21"/>
                      <w:highlight w:val="none"/>
                    </w:rPr>
                    <w:t>噪声</w:t>
                  </w:r>
                </w:p>
              </w:tc>
              <w:tc>
                <w:tcPr>
                  <w:tcW w:w="5570" w:type="dxa"/>
                  <w:noWrap w:val="0"/>
                  <w:vAlign w:val="center"/>
                </w:tcPr>
                <w:p>
                  <w:pPr>
                    <w:overflowPunct w:val="0"/>
                    <w:jc w:val="center"/>
                    <w:rPr>
                      <w:color w:val="auto"/>
                      <w:szCs w:val="21"/>
                      <w:highlight w:val="none"/>
                    </w:rPr>
                  </w:pPr>
                  <w:r>
                    <w:rPr>
                      <w:rFonts w:hint="eastAsia" w:cs="宋体"/>
                      <w:color w:val="auto"/>
                      <w:szCs w:val="21"/>
                      <w:highlight w:val="none"/>
                    </w:rPr>
                    <w:t>风机进、出风口装设</w:t>
                  </w:r>
                  <w:r>
                    <w:rPr>
                      <w:rFonts w:hint="eastAsia" w:cs="宋体"/>
                      <w:color w:val="auto"/>
                      <w:szCs w:val="21"/>
                      <w:highlight w:val="none"/>
                      <w:lang w:eastAsia="zh-CN"/>
                    </w:rPr>
                    <w:t>消声器、</w:t>
                  </w:r>
                  <w:r>
                    <w:rPr>
                      <w:rFonts w:hint="eastAsia" w:cs="宋体"/>
                      <w:color w:val="auto"/>
                      <w:szCs w:val="21"/>
                      <w:highlight w:val="none"/>
                    </w:rPr>
                    <w:t>减振装置、隔声措施</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b/>
                      <w:bCs/>
                      <w:color w:val="auto"/>
                      <w:szCs w:val="21"/>
                      <w:highlight w:val="none"/>
                    </w:rPr>
                  </w:pPr>
                  <w:r>
                    <w:rPr>
                      <w:rFonts w:hint="default" w:ascii="Times New Roman" w:hAnsi="Times New Roman" w:cs="Times New Roman"/>
                      <w:color w:val="auto"/>
                      <w:sz w:val="21"/>
                      <w:szCs w:val="21"/>
                      <w:highlight w:val="none"/>
                    </w:rPr>
                    <w:t>运行维护费</w:t>
                  </w:r>
                </w:p>
              </w:tc>
              <w:tc>
                <w:tcPr>
                  <w:tcW w:w="5570" w:type="dxa"/>
                  <w:noWrap w:val="0"/>
                  <w:vAlign w:val="center"/>
                </w:tcPr>
                <w:p>
                  <w:pPr>
                    <w:overflowPunct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jc w:val="center"/>
              </w:trPr>
              <w:tc>
                <w:tcPr>
                  <w:tcW w:w="6883" w:type="dxa"/>
                  <w:gridSpan w:val="2"/>
                  <w:noWrap w:val="0"/>
                  <w:vAlign w:val="center"/>
                </w:tcPr>
                <w:p>
                  <w:pPr>
                    <w:overflowPunct w:val="0"/>
                    <w:ind w:firstLine="420" w:firstLineChars="200"/>
                    <w:jc w:val="center"/>
                    <w:rPr>
                      <w:color w:val="auto"/>
                      <w:szCs w:val="21"/>
                      <w:highlight w:val="none"/>
                    </w:rPr>
                  </w:pPr>
                  <w:r>
                    <w:rPr>
                      <w:color w:val="auto"/>
                      <w:szCs w:val="21"/>
                      <w:highlight w:val="none"/>
                    </w:rPr>
                    <w:t>合计</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15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45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工艺流程和产排污环节</w:t>
            </w:r>
          </w:p>
        </w:tc>
        <w:tc>
          <w:tcPr>
            <w:tcW w:w="10219" w:type="dxa"/>
            <w:noWrap w:val="0"/>
            <w:vAlign w:val="top"/>
          </w:tcPr>
          <w:p>
            <w:pPr>
              <w:adjustRightInd w:val="0"/>
              <w:snapToGrid w:val="0"/>
              <w:spacing w:before="156" w:beforeLines="5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object>
                <v:shape id="_x0000_i1027" o:spt="75" type="#_x0000_t75" style="height:203.55pt;width:383.7pt;" o:ole="t" filled="f" o:preferrelative="t" stroked="f" coordsize="21600,21600">
                  <v:path/>
                  <v:fill on="f" focussize="0,0"/>
                  <v:stroke on="f"/>
                  <v:imagedata r:id="rId18" o:title=""/>
                  <o:lock v:ext="edit" aspectratio="t"/>
                  <w10:wrap type="none"/>
                  <w10:anchorlock/>
                </v:shape>
                <o:OLEObject Type="Embed" ProgID="" ShapeID="_x0000_i1027" DrawAspect="Content" ObjectID="_1468075727" r:id="rId17">
                  <o:LockedField>false</o:LockedField>
                </o:OLEObject>
              </w:object>
            </w:r>
          </w:p>
          <w:p>
            <w:pPr>
              <w:pStyle w:val="80"/>
              <w:adjustRightInd/>
              <w:snapToGrid/>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 xml:space="preserve"> 本项目工艺流程及产污环节图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本项目生产工艺流程简述如下：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（1）粮食装卸及筛分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进厂潮粮入烘干塔烘干前，先经清理筛分机去除杂质，筛分出的石子等杂质集中收集，定期由市政</w:t>
            </w:r>
            <w:r>
              <w:rPr>
                <w:rFonts w:hint="default" w:ascii="Times New Roman" w:hAnsi="Times New Roman" w:cs="Times New Roman"/>
                <w:color w:val="auto"/>
                <w:sz w:val="24"/>
                <w:szCs w:val="24"/>
                <w:lang w:val="en-US" w:eastAsia="zh-CN"/>
              </w:rPr>
              <w:t>环卫</w:t>
            </w:r>
            <w:r>
              <w:rPr>
                <w:rFonts w:hint="default" w:ascii="Times New Roman" w:hAnsi="Times New Roman" w:cs="Times New Roman"/>
                <w:color w:val="auto"/>
                <w:kern w:val="0"/>
                <w:sz w:val="24"/>
                <w:szCs w:val="24"/>
                <w:highlight w:val="none"/>
                <w:lang w:val="en-US" w:eastAsia="zh-CN"/>
              </w:rPr>
              <w:t>部门清理处置。烘干后的干粮</w:t>
            </w:r>
            <w:r>
              <w:rPr>
                <w:rFonts w:hint="eastAsia" w:cs="Times New Roman"/>
                <w:color w:val="auto"/>
                <w:kern w:val="0"/>
                <w:sz w:val="24"/>
                <w:szCs w:val="24"/>
                <w:highlight w:val="none"/>
                <w:lang w:val="en-US" w:eastAsia="zh-CN"/>
              </w:rPr>
              <w:t>直接</w:t>
            </w:r>
            <w:r>
              <w:rPr>
                <w:rFonts w:hint="default" w:ascii="Times New Roman" w:hAnsi="Times New Roman" w:cs="Times New Roman"/>
                <w:color w:val="auto"/>
                <w:kern w:val="0"/>
                <w:sz w:val="24"/>
                <w:szCs w:val="24"/>
                <w:highlight w:val="none"/>
                <w:lang w:val="en-US" w:eastAsia="zh-CN"/>
              </w:rPr>
              <w:t>装车运输。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（2）热气输送至烘干塔流程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冷空气由鼓风机送至热风炉内，热风炉燃生物质成型燃料产生高温烟气，高温烟气通入换热器。另有冷空气进入换热器，经换热器与高温烟气进行热交换后，变为热空气，经风机送至烘干塔内烘干粮食，烘干后的热空气由塔体两侧排气孔排放，交换后的热风炉烟气经经布袋除尘器处理达标后由烟囱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（3）烘干塔内工艺流程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在烘干塔内，由于粮食自重，自上而下流动，热风由塔底进入，朝上方向穿过粮层，热风在穿过粮层时，与粮粒间进行湿热传递，热风将热量</w:t>
            </w:r>
            <w:r>
              <w:rPr>
                <w:rFonts w:hint="eastAsia" w:cs="Times New Roman"/>
                <w:color w:val="auto"/>
                <w:kern w:val="0"/>
                <w:sz w:val="24"/>
                <w:szCs w:val="24"/>
                <w:highlight w:val="none"/>
                <w:lang w:val="en-US" w:eastAsia="zh-CN"/>
              </w:rPr>
              <w:t>传给</w:t>
            </w:r>
            <w:r>
              <w:rPr>
                <w:rFonts w:hint="default" w:ascii="Times New Roman" w:hAnsi="Times New Roman" w:cs="Times New Roman"/>
                <w:color w:val="auto"/>
                <w:kern w:val="0"/>
                <w:sz w:val="24"/>
                <w:szCs w:val="24"/>
                <w:highlight w:val="none"/>
                <w:lang w:val="en-US" w:eastAsia="zh-CN"/>
              </w:rPr>
              <w:t>粮粒，与粮食接触温度最高不超过60℃，粮粒受热升温，水分蒸发到空气中，热风携带着水汽及少量颗粒物变成废气经塔体两侧排气孔排放。在这个过程中，粮食温度升得越高，水分就蒸发得越快。为保证粮食的品质，即加工性和食用性，烘干塔内粮食升温幅度和干燥时长是受到严格控制的，其原则是既要降低粮食的水分，又不能损害粮食的品质。在烘干塔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本项目运营期污染工序及污染因子见下表：</w:t>
            </w:r>
          </w:p>
          <w:p>
            <w:pPr>
              <w:pStyle w:val="80"/>
              <w:adjustRightInd/>
              <w:snapToGrid/>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 xml:space="preserve"> 项目产污环节汇总</w:t>
            </w:r>
            <w:r>
              <w:rPr>
                <w:rFonts w:hint="default" w:ascii="Times New Roman" w:hAnsi="Times New Roman" w:cs="Times New Roman"/>
                <w:b/>
                <w:bCs/>
                <w:color w:val="auto"/>
                <w:sz w:val="21"/>
                <w:szCs w:val="21"/>
                <w:highlight w:val="none"/>
              </w:rPr>
              <w:t>表</w:t>
            </w:r>
          </w:p>
          <w:tbl>
            <w:tblPr>
              <w:tblStyle w:val="30"/>
              <w:tblW w:w="999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99"/>
              <w:gridCol w:w="3765"/>
              <w:gridCol w:w="3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6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99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污染物类型</w:t>
                  </w: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产污环节</w:t>
                  </w:r>
                </w:p>
              </w:tc>
              <w:tc>
                <w:tcPr>
                  <w:tcW w:w="31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 w:hRule="atLeast"/>
                <w:jc w:val="center"/>
              </w:trPr>
              <w:tc>
                <w:tcPr>
                  <w:tcW w:w="1062"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999"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装卸、筛分、输送、烘干塔废气等</w:t>
                  </w:r>
                </w:p>
              </w:tc>
              <w:tc>
                <w:tcPr>
                  <w:tcW w:w="31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1062"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99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热风炉烟气</w:t>
                  </w:r>
                </w:p>
              </w:tc>
              <w:tc>
                <w:tcPr>
                  <w:tcW w:w="31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颗粒物、二氧化硫、氮氧化物、烟气黑度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106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99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3765"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员工生活</w:t>
                  </w:r>
                </w:p>
              </w:tc>
              <w:tc>
                <w:tcPr>
                  <w:tcW w:w="3173"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062"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199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噪声</w:t>
                  </w: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清粮筛分机、输送机、风机、烘干塔等设备</w:t>
                  </w:r>
                </w:p>
              </w:tc>
              <w:tc>
                <w:tcPr>
                  <w:tcW w:w="31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atLeast"/>
                <w:jc w:val="center"/>
              </w:trPr>
              <w:tc>
                <w:tcPr>
                  <w:tcW w:w="1062" w:type="dxa"/>
                  <w:vMerge w:val="restar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999"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w:t>
                  </w: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潮粮进厂筛选</w:t>
                  </w:r>
                </w:p>
              </w:tc>
              <w:tc>
                <w:tcPr>
                  <w:tcW w:w="31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沙泥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106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99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装卸、折流挡板、</w:t>
                  </w:r>
                  <w:r>
                    <w:rPr>
                      <w:rFonts w:hint="eastAsia" w:ascii="Times New Roman" w:hAnsi="Times New Roman" w:cs="Times New Roman"/>
                      <w:color w:val="auto"/>
                      <w:szCs w:val="21"/>
                      <w:highlight w:val="none"/>
                      <w:lang w:val="en-US" w:eastAsia="zh-CN"/>
                    </w:rPr>
                    <w:t>清理筛</w:t>
                  </w:r>
                </w:p>
              </w:tc>
              <w:tc>
                <w:tcPr>
                  <w:tcW w:w="3173"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106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99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热风炉灰渣及布袋除尘器收灰</w:t>
                  </w:r>
                </w:p>
              </w:tc>
              <w:tc>
                <w:tcPr>
                  <w:tcW w:w="3173"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废布袋、灰渣和粉尘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1062"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999"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76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3173"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456"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4"/>
                <w:szCs w:val="24"/>
              </w:rPr>
              <w:t>与项目有关的原有环境污染问题</w:t>
            </w:r>
          </w:p>
        </w:tc>
        <w:tc>
          <w:tcPr>
            <w:tcW w:w="10219" w:type="dxa"/>
            <w:noWrap w:val="0"/>
            <w:vAlign w:val="center"/>
          </w:tcPr>
          <w:p>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本项目为新建项目，无原有环境污染问题。</w:t>
            </w:r>
          </w:p>
        </w:tc>
      </w:tr>
    </w:tbl>
    <w:p>
      <w:pPr>
        <w:pStyle w:val="25"/>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6" w:name="_Toc25835"/>
      <w:bookmarkStart w:id="17" w:name="_Toc21604"/>
      <w:r>
        <w:rPr>
          <w:rFonts w:hint="default" w:ascii="Times New Roman" w:hAnsi="Times New Roman" w:eastAsia="黑体" w:cs="Times New Roman"/>
          <w:snapToGrid w:val="0"/>
          <w:color w:val="auto"/>
          <w:sz w:val="30"/>
          <w:szCs w:val="30"/>
        </w:rPr>
        <w:t>三、区域环境质量现状、环境保护目标及评价标准</w:t>
      </w:r>
      <w:bookmarkEnd w:id="16"/>
      <w:bookmarkEnd w:id="17"/>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05"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现状</w:t>
            </w:r>
          </w:p>
        </w:tc>
        <w:tc>
          <w:tcPr>
            <w:tcW w:w="878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adjustRightInd/>
              <w:snapToGrid/>
              <w:spacing w:before="0" w:beforeAutospacing="0" w:after="0" w:afterAutospacing="0" w:line="360" w:lineRule="auto"/>
              <w:ind w:left="0" w:right="0" w:firstLine="480" w:firstLineChars="0"/>
              <w:jc w:val="both"/>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eastAsia="zh-CN"/>
              </w:rPr>
              <w:t>本项目</w:t>
            </w:r>
            <w:r>
              <w:rPr>
                <w:rFonts w:hint="default" w:ascii="Times New Roman" w:hAnsi="Times New Roman" w:eastAsia="宋体" w:cs="Times New Roman"/>
                <w:bCs w:val="0"/>
                <w:color w:val="auto"/>
                <w:sz w:val="24"/>
                <w:szCs w:val="24"/>
                <w:highlight w:val="none"/>
                <w:lang w:val="en-US" w:eastAsia="zh-CN"/>
              </w:rPr>
              <w:t>所在地</w:t>
            </w:r>
            <w:r>
              <w:rPr>
                <w:rFonts w:hint="default" w:ascii="Times New Roman" w:hAnsi="Times New Roman" w:eastAsia="宋体" w:cs="Times New Roman"/>
                <w:bCs w:val="0"/>
                <w:color w:val="auto"/>
                <w:sz w:val="24"/>
                <w:szCs w:val="24"/>
                <w:highlight w:val="none"/>
                <w:lang w:eastAsia="zh-CN"/>
              </w:rPr>
              <w:t>属</w:t>
            </w:r>
            <w:r>
              <w:rPr>
                <w:rFonts w:hint="default" w:ascii="Times New Roman" w:hAnsi="Times New Roman" w:eastAsia="宋体" w:cs="Times New Roman"/>
                <w:bCs w:val="0"/>
                <w:color w:val="auto"/>
                <w:sz w:val="24"/>
                <w:szCs w:val="24"/>
                <w:highlight w:val="none"/>
              </w:rPr>
              <w:t>伊春市，</w:t>
            </w:r>
            <w:r>
              <w:rPr>
                <w:rFonts w:hint="default" w:ascii="Times New Roman" w:hAnsi="Times New Roman" w:eastAsia="宋体" w:cs="Times New Roman"/>
                <w:bCs/>
                <w:color w:val="auto"/>
                <w:sz w:val="24"/>
                <w:szCs w:val="24"/>
                <w:highlight w:val="none"/>
              </w:rPr>
              <w:t>环境空气质量基本污染物现状监测数据来源于《</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根据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，202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年，全市环境空气质量达标，二氧化硫、二氧化氮年均值、可吸入颗粒物PM</w:t>
            </w:r>
            <w:r>
              <w:rPr>
                <w:rFonts w:hint="default" w:ascii="Times New Roman" w:hAnsi="Times New Roman" w:eastAsia="宋体" w:cs="Times New Roman"/>
                <w:bCs w:val="0"/>
                <w:color w:val="auto"/>
                <w:sz w:val="24"/>
                <w:szCs w:val="24"/>
                <w:highlight w:val="none"/>
                <w:vertAlign w:val="subscript"/>
              </w:rPr>
              <w:t>10</w:t>
            </w:r>
            <w:r>
              <w:rPr>
                <w:rFonts w:hint="default" w:ascii="Times New Roman" w:hAnsi="Times New Roman" w:eastAsia="宋体" w:cs="Times New Roman"/>
                <w:bCs w:val="0"/>
                <w:color w:val="auto"/>
                <w:sz w:val="24"/>
                <w:szCs w:val="24"/>
                <w:highlight w:val="none"/>
              </w:rPr>
              <w:t>、细颗粒物 PM</w:t>
            </w:r>
            <w:r>
              <w:rPr>
                <w:rFonts w:hint="default" w:ascii="Times New Roman" w:hAnsi="Times New Roman" w:eastAsia="宋体" w:cs="Times New Roman"/>
                <w:bCs w:val="0"/>
                <w:color w:val="auto"/>
                <w:sz w:val="24"/>
                <w:szCs w:val="24"/>
                <w:highlight w:val="none"/>
                <w:vertAlign w:val="subscript"/>
              </w:rPr>
              <w:t>2.5</w:t>
            </w:r>
            <w:r>
              <w:rPr>
                <w:rFonts w:hint="default" w:ascii="Times New Roman" w:hAnsi="Times New Roman" w:eastAsia="宋体" w:cs="Times New Roman"/>
                <w:bCs w:val="0"/>
                <w:color w:val="auto"/>
                <w:sz w:val="24"/>
                <w:szCs w:val="24"/>
                <w:highlight w:val="none"/>
              </w:rPr>
              <w:t>、一氧化碳24小时平均第95百分位数和臭氧日最大8小时滑动平均值的第90百分位数共6项污染物年均值浓度均优于国家环境空气质量二级标准</w:t>
            </w:r>
            <w:r>
              <w:rPr>
                <w:rFonts w:hint="default" w:ascii="Times New Roman" w:hAnsi="Times New Roman" w:eastAsia="宋体" w:cs="Times New Roman"/>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default" w:ascii="Times New Roman" w:hAnsi="Times New Roman" w:eastAsia="宋体" w:cs="Times New Roman"/>
                <w:bCs w:val="0"/>
                <w:color w:val="auto"/>
                <w:sz w:val="24"/>
                <w:szCs w:val="24"/>
                <w:highlight w:val="none"/>
              </w:rPr>
              <w:t>由《</w:t>
            </w:r>
            <w:r>
              <w:rPr>
                <w:rFonts w:hint="default" w:ascii="Times New Roman" w:hAnsi="Times New Roman" w:eastAsia="宋体" w:cs="Times New Roman"/>
                <w:bCs w:val="0"/>
                <w:color w:val="auto"/>
                <w:sz w:val="24"/>
                <w:szCs w:val="24"/>
                <w:highlight w:val="none"/>
                <w:lang w:val="en-US" w:eastAsia="zh-CN"/>
              </w:rPr>
              <w:t>伊春</w:t>
            </w:r>
            <w:r>
              <w:rPr>
                <w:rFonts w:hint="default" w:ascii="Times New Roman" w:hAnsi="Times New Roman" w:eastAsia="宋体" w:cs="Times New Roman"/>
                <w:bCs w:val="0"/>
                <w:color w:val="auto"/>
                <w:sz w:val="24"/>
                <w:szCs w:val="24"/>
                <w:highlight w:val="none"/>
              </w:rPr>
              <w:t>市生态环境质量</w:t>
            </w:r>
            <w:r>
              <w:rPr>
                <w:rFonts w:hint="eastAsia" w:ascii="Times New Roman" w:hAnsi="Times New Roman" w:cs="Times New Roman"/>
                <w:bCs w:val="0"/>
                <w:color w:val="auto"/>
                <w:sz w:val="24"/>
                <w:szCs w:val="24"/>
                <w:highlight w:val="none"/>
                <w:lang w:eastAsia="zh-CN"/>
              </w:rPr>
              <w:t>公报</w:t>
            </w:r>
            <w:r>
              <w:rPr>
                <w:rFonts w:hint="default" w:ascii="Times New Roman" w:hAnsi="Times New Roman" w:eastAsia="宋体" w:cs="Times New Roman"/>
                <w:bCs w:val="0"/>
                <w:color w:val="auto"/>
                <w:sz w:val="24"/>
                <w:szCs w:val="24"/>
                <w:highlight w:val="none"/>
              </w:rPr>
              <w:t>》（20</w:t>
            </w:r>
            <w:r>
              <w:rPr>
                <w:rFonts w:hint="default" w:ascii="Times New Roman" w:hAnsi="Times New Roman" w:eastAsia="宋体" w:cs="Times New Roman"/>
                <w:bCs w:val="0"/>
                <w:color w:val="auto"/>
                <w:sz w:val="24"/>
                <w:szCs w:val="24"/>
                <w:highlight w:val="none"/>
                <w:lang w:val="en-US" w:eastAsia="zh-CN"/>
              </w:rPr>
              <w:t>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年）可知，本项目所在区域属于达标区</w:t>
            </w:r>
            <w:r>
              <w:rPr>
                <w:rFonts w:hint="default" w:ascii="Times New Roman" w:hAnsi="Times New Roman" w:eastAsia="宋体" w:cs="Times New Roman"/>
                <w:bCs w:val="0"/>
                <w:color w:val="auto"/>
                <w:sz w:val="24"/>
                <w:szCs w:val="24"/>
                <w:highlight w:val="none"/>
                <w:lang w:eastAsia="zh-CN"/>
              </w:rPr>
              <w:t>。</w:t>
            </w:r>
          </w:p>
          <w:p>
            <w:pPr>
              <w:adjustRightInd w:val="0"/>
              <w:snapToGrid w:val="0"/>
              <w:spacing w:line="240" w:lineRule="auto"/>
              <w:ind w:firstLine="422"/>
              <w:jc w:val="center"/>
              <w:rPr>
                <w:b/>
                <w:bCs/>
                <w:color w:val="auto"/>
                <w:sz w:val="24"/>
                <w:szCs w:val="24"/>
                <w:highlight w:val="none"/>
              </w:rPr>
            </w:pPr>
            <w:r>
              <w:rPr>
                <w:b/>
                <w:bCs/>
                <w:color w:val="auto"/>
                <w:sz w:val="24"/>
                <w:szCs w:val="24"/>
                <w:highlight w:val="none"/>
              </w:rPr>
              <w:t xml:space="preserve">表3-1  </w:t>
            </w:r>
            <w:r>
              <w:rPr>
                <w:rFonts w:hint="eastAsia"/>
                <w:b/>
                <w:bCs/>
                <w:color w:val="auto"/>
                <w:sz w:val="24"/>
                <w:szCs w:val="24"/>
                <w:highlight w:val="none"/>
                <w:lang w:val="en-US" w:eastAsia="zh-CN"/>
              </w:rPr>
              <w:t>2024年环境空气各项</w:t>
            </w:r>
            <w:r>
              <w:rPr>
                <w:b/>
                <w:bCs/>
                <w:color w:val="auto"/>
                <w:sz w:val="24"/>
                <w:szCs w:val="24"/>
                <w:highlight w:val="none"/>
              </w:rPr>
              <w:t>污染物</w:t>
            </w:r>
            <w:r>
              <w:rPr>
                <w:rFonts w:hint="eastAsia"/>
                <w:b/>
                <w:bCs/>
                <w:color w:val="auto"/>
                <w:sz w:val="24"/>
                <w:szCs w:val="24"/>
                <w:highlight w:val="none"/>
                <w:lang w:val="en-US" w:eastAsia="zh-CN"/>
              </w:rPr>
              <w:t>达标情况</w:t>
            </w:r>
            <w:r>
              <w:rPr>
                <w:b/>
                <w:bCs/>
                <w:color w:val="auto"/>
                <w:sz w:val="24"/>
                <w:szCs w:val="24"/>
                <w:highlight w:val="none"/>
              </w:rPr>
              <w:t>一览表   单位：μg/m</w:t>
            </w:r>
            <w:r>
              <w:rPr>
                <w:b/>
                <w:bCs/>
                <w:color w:val="auto"/>
                <w:sz w:val="24"/>
                <w:szCs w:val="24"/>
                <w:highlight w:val="none"/>
                <w:vertAlign w:val="superscript"/>
              </w:rPr>
              <w:t>3</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0"/>
              <w:gridCol w:w="3353"/>
              <w:gridCol w:w="1060"/>
              <w:gridCol w:w="1231"/>
              <w:gridCol w:w="101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污染物</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年评价指标</w:t>
                  </w:r>
                </w:p>
              </w:tc>
              <w:tc>
                <w:tcPr>
                  <w:tcW w:w="106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现状浓度</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标准值</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012"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占标率</w:t>
                  </w:r>
                  <w:r>
                    <w:rPr>
                      <w:rFonts w:ascii="Times New Roman" w:hAnsi="Times New Roman"/>
                      <w:color w:val="auto"/>
                      <w:sz w:val="21"/>
                      <w:szCs w:val="21"/>
                      <w:lang w:bidi="ar"/>
                    </w:rPr>
                    <w:t>/%</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2.5</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24</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35</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68.57</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10</w:t>
                  </w:r>
                </w:p>
              </w:tc>
              <w:tc>
                <w:tcPr>
                  <w:tcW w:w="3353"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34</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70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48.57</w:t>
                  </w:r>
                </w:p>
              </w:tc>
              <w:tc>
                <w:tcPr>
                  <w:tcW w:w="1115"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SO</w:t>
                  </w:r>
                  <w:r>
                    <w:rPr>
                      <w:rFonts w:ascii="Times New Roman" w:hAnsi="Times New Roman"/>
                      <w:color w:val="auto"/>
                      <w:sz w:val="21"/>
                      <w:szCs w:val="21"/>
                      <w:vertAlign w:val="subscript"/>
                      <w:lang w:bidi="ar"/>
                    </w:rPr>
                    <w:t>2</w:t>
                  </w:r>
                </w:p>
              </w:tc>
              <w:tc>
                <w:tcPr>
                  <w:tcW w:w="3353"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bidi="ar"/>
                    </w:rPr>
                    <w:t>7</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60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11.67</w:t>
                  </w:r>
                </w:p>
              </w:tc>
              <w:tc>
                <w:tcPr>
                  <w:tcW w:w="1115"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NO</w:t>
                  </w:r>
                  <w:r>
                    <w:rPr>
                      <w:rFonts w:ascii="Times New Roman" w:hAnsi="Times New Roman"/>
                      <w:color w:val="auto"/>
                      <w:sz w:val="21"/>
                      <w:szCs w:val="21"/>
                      <w:vertAlign w:val="subscript"/>
                      <w:lang w:bidi="ar"/>
                    </w:rPr>
                    <w:t>2</w:t>
                  </w:r>
                </w:p>
              </w:tc>
              <w:tc>
                <w:tcPr>
                  <w:tcW w:w="3353"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13</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40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32.50</w:t>
                  </w:r>
                </w:p>
              </w:tc>
              <w:tc>
                <w:tcPr>
                  <w:tcW w:w="1115" w:type="dxa"/>
                  <w:noWrap w:val="0"/>
                  <w:vAlign w:val="center"/>
                </w:tcPr>
                <w:p>
                  <w:pPr>
                    <w:pStyle w:val="25"/>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vertAlign w:val="subscript"/>
                    </w:rPr>
                  </w:pPr>
                  <w:r>
                    <w:rPr>
                      <w:rFonts w:ascii="Times New Roman" w:hAnsi="Times New Roman"/>
                      <w:color w:val="auto"/>
                      <w:sz w:val="21"/>
                      <w:szCs w:val="21"/>
                      <w:lang w:bidi="ar"/>
                    </w:rPr>
                    <w:t>CO</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95</w:t>
                  </w:r>
                  <w:r>
                    <w:rPr>
                      <w:rFonts w:hint="eastAsia" w:ascii="Times New Roman" w:hAnsi="Times New Roman" w:cs="宋体"/>
                      <w:color w:val="auto"/>
                      <w:sz w:val="21"/>
                      <w:szCs w:val="21"/>
                      <w:lang w:bidi="ar"/>
                    </w:rPr>
                    <w:t>百分位数日平均浓度（</w:t>
                  </w:r>
                  <w:r>
                    <w:rPr>
                      <w:rFonts w:ascii="Times New Roman" w:hAnsi="Times New Roman"/>
                      <w:color w:val="auto"/>
                      <w:sz w:val="21"/>
                      <w:szCs w:val="21"/>
                      <w:lang w:bidi="ar"/>
                    </w:rPr>
                    <w:t>mg/m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0.8</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4.0</w:t>
                  </w:r>
                </w:p>
              </w:tc>
              <w:tc>
                <w:tcPr>
                  <w:tcW w:w="1012"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2</w:t>
                  </w:r>
                  <w:r>
                    <w:rPr>
                      <w:rFonts w:hint="eastAsia" w:ascii="Times New Roman" w:hAnsi="Times New Roman"/>
                      <w:color w:val="auto"/>
                      <w:sz w:val="21"/>
                      <w:szCs w:val="21"/>
                      <w:lang w:val="en-US" w:eastAsia="zh-CN" w:bidi="ar"/>
                    </w:rPr>
                    <w:t>0</w:t>
                  </w:r>
                  <w:r>
                    <w:rPr>
                      <w:rFonts w:hint="eastAsia" w:ascii="Times New Roman" w:hAnsi="Times New Roman"/>
                      <w:color w:val="auto"/>
                      <w:sz w:val="21"/>
                      <w:szCs w:val="21"/>
                      <w:lang w:bidi="ar"/>
                    </w:rPr>
                    <w:t>.00</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O</w:t>
                  </w:r>
                  <w:r>
                    <w:rPr>
                      <w:rFonts w:ascii="Times New Roman" w:hAnsi="Times New Roman"/>
                      <w:color w:val="auto"/>
                      <w:sz w:val="21"/>
                      <w:szCs w:val="21"/>
                      <w:vertAlign w:val="subscript"/>
                      <w:lang w:bidi="ar"/>
                    </w:rPr>
                    <w:t>3</w:t>
                  </w:r>
                </w:p>
              </w:tc>
              <w:tc>
                <w:tcPr>
                  <w:tcW w:w="3353"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90</w:t>
                  </w:r>
                  <w:r>
                    <w:rPr>
                      <w:rFonts w:hint="eastAsia" w:ascii="Times New Roman" w:hAnsi="Times New Roman" w:cs="宋体"/>
                      <w:color w:val="auto"/>
                      <w:sz w:val="21"/>
                      <w:szCs w:val="21"/>
                      <w:lang w:bidi="ar"/>
                    </w:rPr>
                    <w:t>百分位数</w:t>
                  </w:r>
                  <w:r>
                    <w:rPr>
                      <w:rFonts w:ascii="Times New Roman" w:hAnsi="Times New Roman"/>
                      <w:color w:val="auto"/>
                      <w:sz w:val="21"/>
                      <w:szCs w:val="21"/>
                      <w:lang w:bidi="ar"/>
                    </w:rPr>
                    <w:t>8h</w:t>
                  </w:r>
                  <w:r>
                    <w:rPr>
                      <w:rFonts w:hint="eastAsia" w:ascii="Times New Roman" w:hAnsi="Times New Roman" w:cs="宋体"/>
                      <w:color w:val="auto"/>
                      <w:sz w:val="21"/>
                      <w:szCs w:val="21"/>
                      <w:lang w:bidi="ar"/>
                    </w:rPr>
                    <w:t>平均质量浓度</w:t>
                  </w:r>
                </w:p>
              </w:tc>
              <w:tc>
                <w:tcPr>
                  <w:tcW w:w="1060"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104</w:t>
                  </w:r>
                </w:p>
              </w:tc>
              <w:tc>
                <w:tcPr>
                  <w:tcW w:w="1231"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160</w:t>
                  </w:r>
                </w:p>
              </w:tc>
              <w:tc>
                <w:tcPr>
                  <w:tcW w:w="1012" w:type="dxa"/>
                  <w:noWrap w:val="0"/>
                  <w:vAlign w:val="center"/>
                </w:tcPr>
                <w:p>
                  <w:pPr>
                    <w:pStyle w:val="25"/>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65.00</w:t>
                  </w:r>
                </w:p>
              </w:tc>
              <w:tc>
                <w:tcPr>
                  <w:tcW w:w="1115" w:type="dxa"/>
                  <w:noWrap w:val="0"/>
                  <w:vAlign w:val="center"/>
                </w:tcPr>
                <w:p>
                  <w:pPr>
                    <w:pStyle w:val="25"/>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ind w:firstLine="363"/>
              <w:textAlignment w:val="auto"/>
              <w:rPr>
                <w:color w:val="auto"/>
                <w:sz w:val="18"/>
                <w:szCs w:val="18"/>
                <w:highlight w:val="none"/>
              </w:rPr>
            </w:pPr>
            <w:r>
              <w:rPr>
                <w:color w:val="auto"/>
                <w:sz w:val="18"/>
                <w:szCs w:val="18"/>
                <w:highlight w:val="none"/>
              </w:rPr>
              <w:t>注：</w:t>
            </w:r>
            <w:r>
              <w:rPr>
                <w:rFonts w:hint="eastAsia"/>
                <w:color w:val="auto"/>
                <w:sz w:val="18"/>
                <w:szCs w:val="18"/>
                <w:highlight w:val="none"/>
                <w:lang w:val="en-US" w:eastAsia="zh-CN"/>
              </w:rPr>
              <w:t>日均值第X百分位数按照《环境空气质量评价技术规范（试行）》（HJ 663-2013），</w:t>
            </w:r>
            <w:r>
              <w:rPr>
                <w:color w:val="auto"/>
                <w:sz w:val="18"/>
                <w:szCs w:val="18"/>
                <w:highlight w:val="none"/>
              </w:rPr>
              <w:t>二氧化氮、二氧化硫</w:t>
            </w:r>
            <w:r>
              <w:rPr>
                <w:rFonts w:hint="eastAsia"/>
                <w:color w:val="auto"/>
                <w:sz w:val="18"/>
                <w:szCs w:val="18"/>
                <w:highlight w:val="none"/>
                <w:lang w:val="en-US" w:eastAsia="zh-CN"/>
              </w:rPr>
              <w:t>X</w:t>
            </w:r>
            <w:r>
              <w:rPr>
                <w:color w:val="auto"/>
                <w:sz w:val="18"/>
                <w:szCs w:val="18"/>
                <w:highlight w:val="none"/>
              </w:rPr>
              <w:t>为98，PM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、一氧化碳</w:t>
            </w:r>
            <w:r>
              <w:rPr>
                <w:rFonts w:hint="eastAsia"/>
                <w:color w:val="auto"/>
                <w:sz w:val="18"/>
                <w:szCs w:val="18"/>
                <w:highlight w:val="none"/>
                <w:lang w:val="en-US" w:eastAsia="zh-CN"/>
              </w:rPr>
              <w:t>X</w:t>
            </w:r>
            <w:r>
              <w:rPr>
                <w:color w:val="auto"/>
                <w:sz w:val="18"/>
                <w:szCs w:val="18"/>
                <w:highlight w:val="none"/>
              </w:rPr>
              <w:t>为95，臭氧日最大8小时平均</w:t>
            </w:r>
            <w:r>
              <w:rPr>
                <w:rFonts w:hint="eastAsia"/>
                <w:color w:val="auto"/>
                <w:sz w:val="18"/>
                <w:szCs w:val="18"/>
                <w:highlight w:val="none"/>
                <w:lang w:val="en-US" w:eastAsia="zh-CN"/>
              </w:rPr>
              <w:t>X</w:t>
            </w:r>
            <w:r>
              <w:rPr>
                <w:color w:val="auto"/>
                <w:sz w:val="18"/>
                <w:szCs w:val="18"/>
                <w:highlight w:val="none"/>
              </w:rPr>
              <w:t>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eastAsia" w:cs="Times New Roman"/>
                <w:color w:val="auto"/>
                <w:sz w:val="24"/>
                <w:szCs w:val="24"/>
                <w:lang w:val="en-US" w:eastAsia="zh-CN"/>
              </w:rPr>
              <w:t>，监测时间为2025年9月18日-9月20日</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36"/>
              <w:jc w:val="center"/>
              <w:rPr>
                <w:rFonts w:hint="default" w:ascii="Times New Roman" w:hAnsi="Times New Roman" w:cs="Times New Roman"/>
                <w:color w:val="auto"/>
              </w:rPr>
            </w:pPr>
            <w:r>
              <w:rPr>
                <w:color w:val="auto"/>
              </w:rPr>
              <w:drawing>
                <wp:inline distT="0" distB="0" distL="114300" distR="114300">
                  <wp:extent cx="4305935" cy="3468370"/>
                  <wp:effectExtent l="0" t="0" r="18415" b="177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4305935" cy="3468370"/>
                          </a:xfrm>
                          <a:prstGeom prst="rect">
                            <a:avLst/>
                          </a:prstGeom>
                          <a:noFill/>
                          <a:ln>
                            <a:noFill/>
                          </a:ln>
                        </pic:spPr>
                      </pic:pic>
                    </a:graphicData>
                  </a:graphic>
                </wp:inline>
              </w:drawing>
            </w:r>
          </w:p>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3-1 大气监测点位示意图</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2 项目环境空气现状监测布点一览表</w:t>
            </w:r>
          </w:p>
          <w:tbl>
            <w:tblPr>
              <w:tblStyle w:val="31"/>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38"/>
              <w:gridCol w:w="1062"/>
              <w:gridCol w:w="1046"/>
              <w:gridCol w:w="2086"/>
              <w:gridCol w:w="1077"/>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000"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p>
              </w:tc>
              <w:tc>
                <w:tcPr>
                  <w:tcW w:w="104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8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107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188"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104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208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07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188"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1#</w:t>
                  </w: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130.30053377</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48.65972475</w:t>
                  </w:r>
                </w:p>
              </w:tc>
              <w:tc>
                <w:tcPr>
                  <w:tcW w:w="104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8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eastAsia="宋体" w:cs="Times New Roman"/>
                      <w:color w:val="auto"/>
                      <w:sz w:val="21"/>
                      <w:szCs w:val="21"/>
                      <w:highlight w:val="none"/>
                      <w:lang w:val="en-US" w:eastAsia="zh-CN" w:bidi="ar-SA"/>
                    </w:rPr>
                    <w:t>2025.9.18-2025.9.20</w:t>
                  </w:r>
                </w:p>
              </w:tc>
              <w:tc>
                <w:tcPr>
                  <w:tcW w:w="1077" w:type="dxa"/>
                  <w:noWrap w:val="0"/>
                  <w:vAlign w:val="center"/>
                </w:tcPr>
                <w:p>
                  <w:pPr>
                    <w:pStyle w:val="36"/>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E</w:t>
                  </w:r>
                </w:p>
              </w:tc>
              <w:tc>
                <w:tcPr>
                  <w:tcW w:w="1188" w:type="dxa"/>
                  <w:noWrap w:val="0"/>
                  <w:vAlign w:val="center"/>
                </w:tcPr>
                <w:p>
                  <w:pPr>
                    <w:pStyle w:val="36"/>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100</w:t>
                  </w:r>
                </w:p>
              </w:tc>
            </w:tr>
          </w:tbl>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其他污染物环境质量现状监测结果表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915"/>
              <w:gridCol w:w="912"/>
              <w:gridCol w:w="738"/>
              <w:gridCol w:w="637"/>
              <w:gridCol w:w="1049"/>
              <w:gridCol w:w="1101"/>
              <w:gridCol w:w="900"/>
              <w:gridCol w:w="641"/>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827"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p>
              </w:tc>
              <w:tc>
                <w:tcPr>
                  <w:tcW w:w="73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37"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1049"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10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00"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64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65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73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37"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049"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10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00"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4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5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1#</w:t>
                  </w: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130.30053377</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color w:val="auto"/>
                    </w:rPr>
                    <w:t>48.65972475</w:t>
                  </w:r>
                </w:p>
              </w:tc>
              <w:tc>
                <w:tcPr>
                  <w:tcW w:w="738"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637"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1049"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10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0.106-0.122</w:t>
                  </w:r>
                </w:p>
              </w:tc>
              <w:tc>
                <w:tcPr>
                  <w:tcW w:w="900"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40.67</w:t>
                  </w:r>
                </w:p>
              </w:tc>
              <w:tc>
                <w:tcPr>
                  <w:tcW w:w="64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8"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87"/>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监测结果无超标现象，达到了《环境空气质量标准》（GB3095-2012）二级标准要求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西北小横</w:t>
            </w:r>
            <w:r>
              <w:rPr>
                <w:rFonts w:hint="eastAsia" w:ascii="Times New Roman" w:hAnsi="Times New Roman" w:eastAsia="宋体" w:cs="Times New Roman"/>
                <w:color w:val="auto"/>
                <w:kern w:val="0"/>
                <w:sz w:val="24"/>
                <w:szCs w:val="24"/>
                <w:highlight w:val="none"/>
                <w:u w:val="none" w:color="000000"/>
                <w:lang w:val="en-US" w:eastAsia="zh-CN" w:bidi="ar-SA"/>
              </w:rPr>
              <w:t>河，属于黑龙江</w:t>
            </w:r>
            <w:r>
              <w:rPr>
                <w:rFonts w:hint="eastAsia" w:cs="Times New Roman"/>
                <w:color w:val="auto"/>
                <w:kern w:val="0"/>
                <w:sz w:val="24"/>
                <w:szCs w:val="24"/>
                <w:highlight w:val="none"/>
                <w:u w:val="none" w:color="000000"/>
                <w:lang w:val="en-US" w:eastAsia="zh-CN" w:bidi="ar-SA"/>
              </w:rPr>
              <w:t>二级支</w:t>
            </w:r>
            <w:r>
              <w:rPr>
                <w:rFonts w:hint="eastAsia" w:ascii="Times New Roman" w:hAnsi="Times New Roman" w:eastAsia="宋体" w:cs="Times New Roman"/>
                <w:color w:val="auto"/>
                <w:kern w:val="0"/>
                <w:sz w:val="24"/>
                <w:szCs w:val="24"/>
                <w:highlight w:val="none"/>
                <w:u w:val="none" w:color="000000"/>
                <w:lang w:val="en-US" w:eastAsia="zh-CN" w:bidi="ar-SA"/>
              </w:rPr>
              <w:t>流</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年伊春市生态环境质量公报》，本项目附近地表水体属于</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水质目标</w:t>
            </w:r>
            <w:r>
              <w:rPr>
                <w:rFonts w:hint="default" w:ascii="Times New Roman" w:hAnsi="Times New Roman" w:eastAsia="宋体" w:cs="Times New Roman"/>
                <w:color w:val="auto"/>
                <w:kern w:val="0"/>
                <w:sz w:val="24"/>
                <w:szCs w:val="24"/>
                <w:highlight w:val="none"/>
                <w:u w:val="none" w:color="000000"/>
                <w:lang w:val="en-US" w:eastAsia="zh-CN" w:bidi="ar-SA"/>
              </w:rPr>
              <w:t>为</w:t>
            </w:r>
            <w:r>
              <w:rPr>
                <w:rFonts w:hint="eastAsia" w:cs="Times New Roman"/>
                <w:color w:val="auto"/>
                <w:kern w:val="0"/>
                <w:sz w:val="24"/>
                <w:szCs w:val="24"/>
                <w:highlight w:val="none"/>
                <w:u w:val="none" w:color="000000"/>
                <w:lang w:val="en-US" w:eastAsia="zh-CN" w:bidi="ar-SA"/>
              </w:rPr>
              <w:t>Ⅲ</w:t>
            </w:r>
            <w:r>
              <w:rPr>
                <w:rFonts w:hint="default" w:ascii="Times New Roman" w:hAnsi="Times New Roman" w:eastAsia="宋体" w:cs="Times New Roman"/>
                <w:color w:val="auto"/>
                <w:kern w:val="0"/>
                <w:sz w:val="24"/>
                <w:szCs w:val="24"/>
                <w:highlight w:val="none"/>
                <w:u w:val="none" w:color="000000"/>
                <w:lang w:val="en-US" w:eastAsia="zh-CN" w:bidi="ar-SA"/>
              </w:rPr>
              <w:t>类水体。该监测断面202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为</w:t>
            </w:r>
            <w:r>
              <w:rPr>
                <w:rFonts w:hint="eastAsia" w:ascii="Times New Roman" w:hAnsi="Times New Roman" w:eastAsia="宋体" w:cs="Times New Roman"/>
                <w:color w:val="auto"/>
                <w:kern w:val="0"/>
                <w:sz w:val="24"/>
                <w:szCs w:val="24"/>
                <w:highlight w:val="none"/>
                <w:u w:val="none" w:color="000000"/>
                <w:lang w:val="en-US" w:eastAsia="zh-CN" w:bidi="ar-SA"/>
              </w:rPr>
              <w:t>Ⅳ</w:t>
            </w:r>
            <w:r>
              <w:rPr>
                <w:rFonts w:hint="default" w:ascii="Times New Roman" w:hAnsi="Times New Roman" w:eastAsia="宋体" w:cs="Times New Roman"/>
                <w:color w:val="auto"/>
                <w:kern w:val="0"/>
                <w:sz w:val="24"/>
                <w:szCs w:val="24"/>
                <w:highlight w:val="none"/>
                <w:u w:val="none" w:color="000000"/>
                <w:lang w:val="en-US" w:eastAsia="zh-CN" w:bidi="ar-SA"/>
              </w:rPr>
              <w:t>类</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eastAsia" w:cs="Times New Roman"/>
                <w:color w:val="auto"/>
                <w:kern w:val="0"/>
                <w:sz w:val="24"/>
                <w:szCs w:val="24"/>
                <w:highlight w:val="none"/>
                <w:u w:val="none" w:color="000000"/>
                <w:lang w:val="en-US" w:eastAsia="zh-CN" w:bidi="ar-SA"/>
              </w:rPr>
              <w:t>中Ⅲ类标准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，超标原因主要为受本底值影响。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spacing w:line="360" w:lineRule="auto"/>
              <w:ind w:firstLine="480" w:firstLineChars="200"/>
              <w:contextualSpacing/>
              <w:jc w:val="left"/>
              <w:rPr>
                <w:rFonts w:hint="default"/>
                <w:color w:val="auto"/>
                <w:lang w:val="en-US" w:eastAsia="zh-CN"/>
              </w:rPr>
            </w:pPr>
            <w:r>
              <w:rPr>
                <w:rFonts w:hint="default" w:ascii="Times New Roman" w:hAnsi="Times New Roman" w:cs="Times New Roman"/>
                <w:color w:val="auto"/>
                <w:sz w:val="24"/>
                <w:szCs w:val="24"/>
                <w:lang w:val="en-US" w:eastAsia="zh-CN"/>
              </w:rPr>
              <w:t>本项目50m范围无居民等声环境保护目标，故本项目未进行声环境质量现状监测。</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年，伊春市昼间区域环境噪声平均等效声级为50.1分贝，声环境质量为好，</w:t>
            </w:r>
            <w:r>
              <w:rPr>
                <w:rFonts w:hint="eastAsia" w:cs="Times New Roman"/>
                <w:color w:val="auto"/>
                <w:sz w:val="24"/>
                <w:szCs w:val="24"/>
                <w:lang w:val="en-US" w:eastAsia="zh-CN"/>
              </w:rPr>
              <w:t>同比无变化</w:t>
            </w: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目标</w:t>
            </w:r>
          </w:p>
        </w:tc>
        <w:tc>
          <w:tcPr>
            <w:tcW w:w="8780" w:type="dxa"/>
            <w:noWrap w:val="0"/>
            <w:vAlign w:val="top"/>
          </w:tcPr>
          <w:p>
            <w:pPr>
              <w:numPr>
                <w:ilvl w:val="0"/>
                <w:numId w:val="0"/>
              </w:numPr>
              <w:spacing w:line="360" w:lineRule="auto"/>
              <w:rPr>
                <w:b/>
                <w:bCs/>
                <w:color w:val="auto"/>
                <w:spacing w:val="4"/>
                <w:sz w:val="24"/>
              </w:rPr>
            </w:pPr>
            <w:r>
              <w:rPr>
                <w:rFonts w:hint="eastAsia" w:ascii="Times New Roman" w:hAnsi="Times New Roman" w:eastAsia="宋体" w:cs="Times New Roman"/>
                <w:color w:val="auto"/>
                <w:sz w:val="24"/>
                <w:szCs w:val="24"/>
                <w:lang w:val="en-US" w:eastAsia="zh-CN"/>
              </w:rPr>
              <w:t xml:space="preserve">   </w:t>
            </w:r>
            <w:r>
              <w:rPr>
                <w:b/>
                <w:bCs/>
                <w:color w:val="auto"/>
                <w:spacing w:val="4"/>
                <w:kern w:val="2"/>
                <w:sz w:val="24"/>
                <w:szCs w:val="24"/>
                <w:lang w:val="en-US" w:eastAsia="zh-CN" w:bidi="ar-SA"/>
              </w:rPr>
              <w:t>1、</w:t>
            </w:r>
            <w:r>
              <w:rPr>
                <w:b/>
                <w:bCs/>
                <w:color w:val="auto"/>
                <w:spacing w:val="4"/>
                <w:sz w:val="24"/>
              </w:rPr>
              <w:t>环境空气保护目标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前景村居民</w:t>
            </w:r>
            <w:r>
              <w:rPr>
                <w:color w:val="auto"/>
                <w:spacing w:val="4"/>
                <w:sz w:val="24"/>
              </w:rPr>
              <w:t>，环境空气保护目标详见下表。</w:t>
            </w:r>
          </w:p>
          <w:p>
            <w:pPr>
              <w:pStyle w:val="107"/>
              <w:numPr>
                <w:ilvl w:val="0"/>
                <w:numId w:val="0"/>
              </w:numPr>
              <w:adjustRightInd/>
              <w:snapToGrid/>
              <w:spacing w:line="240" w:lineRule="auto"/>
              <w:ind w:left="0" w:leftChars="0" w:firstLine="0" w:firstLineChars="0"/>
              <w:rPr>
                <w:color w:val="auto"/>
                <w:sz w:val="21"/>
                <w:szCs w:val="18"/>
              </w:rPr>
            </w:pPr>
            <w:r>
              <w:rPr>
                <w:rFonts w:hint="eastAsia"/>
                <w:b/>
                <w:bCs/>
                <w:color w:val="auto"/>
                <w:kern w:val="0"/>
                <w:sz w:val="21"/>
                <w:szCs w:val="18"/>
                <w:lang w:val="en-US" w:eastAsia="zh-CN" w:bidi="ar-SA"/>
              </w:rPr>
              <w:t>表3-4</w:t>
            </w:r>
            <w:r>
              <w:rPr>
                <w:rFonts w:hint="eastAsia"/>
                <w:b/>
                <w:color w:val="auto"/>
                <w:sz w:val="21"/>
                <w:szCs w:val="21"/>
              </w:rPr>
              <w:t xml:space="preserve">   </w:t>
            </w:r>
            <w:r>
              <w:rPr>
                <w:b/>
                <w:color w:val="auto"/>
                <w:sz w:val="21"/>
                <w:szCs w:val="21"/>
              </w:rPr>
              <w:t xml:space="preserve">   </w:t>
            </w:r>
            <w:r>
              <w:rPr>
                <w:rFonts w:hint="eastAsia"/>
                <w:b/>
                <w:color w:val="auto"/>
                <w:sz w:val="21"/>
                <w:szCs w:val="21"/>
              </w:rPr>
              <w:t>环境</w:t>
            </w:r>
            <w:r>
              <w:rPr>
                <w:rFonts w:hint="eastAsia"/>
                <w:b/>
                <w:color w:val="auto"/>
                <w:sz w:val="21"/>
                <w:szCs w:val="21"/>
                <w:lang w:val="en-US" w:eastAsia="zh-CN"/>
              </w:rPr>
              <w:t>空气</w:t>
            </w:r>
            <w:r>
              <w:rPr>
                <w:rFonts w:hint="eastAsia"/>
                <w:b/>
                <w:color w:val="auto"/>
                <w:sz w:val="21"/>
                <w:szCs w:val="21"/>
              </w:rPr>
              <w:t>保护目标一览表</w:t>
            </w:r>
          </w:p>
          <w:tbl>
            <w:tblPr>
              <w:tblStyle w:val="30"/>
              <w:tblW w:w="85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500"/>
              <w:gridCol w:w="1455"/>
              <w:gridCol w:w="888"/>
              <w:gridCol w:w="727"/>
              <w:gridCol w:w="1020"/>
              <w:gridCol w:w="871"/>
              <w:gridCol w:w="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4"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名称</w:t>
                  </w:r>
                </w:p>
              </w:tc>
              <w:tc>
                <w:tcPr>
                  <w:tcW w:w="2955" w:type="dxa"/>
                  <w:gridSpan w:val="2"/>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坐标</w:t>
                  </w:r>
                </w:p>
              </w:tc>
              <w:tc>
                <w:tcPr>
                  <w:tcW w:w="888"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对象</w:t>
                  </w:r>
                </w:p>
              </w:tc>
              <w:tc>
                <w:tcPr>
                  <w:tcW w:w="727"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内容</w:t>
                  </w:r>
                </w:p>
              </w:tc>
              <w:tc>
                <w:tcPr>
                  <w:tcW w:w="1020"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环境</w:t>
                  </w:r>
                </w:p>
                <w:p>
                  <w:pPr>
                    <w:pStyle w:val="57"/>
                    <w:spacing w:before="24" w:after="24" w:line="240" w:lineRule="auto"/>
                    <w:ind w:left="-3" w:firstLine="3"/>
                    <w:rPr>
                      <w:rFonts w:ascii="Times New Roman"/>
                      <w:color w:val="auto"/>
                      <w:szCs w:val="21"/>
                    </w:rPr>
                  </w:pPr>
                  <w:r>
                    <w:rPr>
                      <w:rFonts w:ascii="Times New Roman"/>
                      <w:color w:val="auto"/>
                      <w:szCs w:val="21"/>
                    </w:rPr>
                    <w:t>功能区</w:t>
                  </w:r>
                </w:p>
              </w:tc>
              <w:tc>
                <w:tcPr>
                  <w:tcW w:w="871" w:type="dxa"/>
                  <w:vMerge w:val="restart"/>
                  <w:noWrap w:val="0"/>
                  <w:vAlign w:val="center"/>
                </w:tcPr>
                <w:p>
                  <w:pPr>
                    <w:rPr>
                      <w:color w:val="auto"/>
                    </w:rPr>
                  </w:pPr>
                  <w:r>
                    <w:rPr>
                      <w:color w:val="auto"/>
                    </w:rPr>
                    <w:t>相对厂址方位</w:t>
                  </w:r>
                </w:p>
              </w:tc>
              <w:tc>
                <w:tcPr>
                  <w:tcW w:w="939" w:type="dxa"/>
                  <w:vMerge w:val="restart"/>
                  <w:noWrap w:val="0"/>
                  <w:vAlign w:val="center"/>
                </w:tcPr>
                <w:p>
                  <w:pPr>
                    <w:rPr>
                      <w:rFonts w:hint="eastAsia" w:eastAsia="宋体"/>
                      <w:color w:val="auto"/>
                      <w:lang w:val="en-US" w:eastAsia="zh-CN"/>
                    </w:rPr>
                  </w:pPr>
                  <w:r>
                    <w:rPr>
                      <w:color w:val="auto"/>
                    </w:rPr>
                    <w:t>相对厂界距离</w:t>
                  </w:r>
                  <w:r>
                    <w:rPr>
                      <w:rFonts w:hint="eastAsia"/>
                      <w:color w:val="auto"/>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4" w:type="dxa"/>
                  <w:vMerge w:val="continue"/>
                  <w:noWrap w:val="0"/>
                  <w:vAlign w:val="center"/>
                </w:tcPr>
                <w:p>
                  <w:pPr>
                    <w:pStyle w:val="57"/>
                    <w:spacing w:before="24" w:after="24" w:line="240" w:lineRule="auto"/>
                    <w:ind w:left="-3"/>
                    <w:rPr>
                      <w:rFonts w:ascii="Times New Roman"/>
                      <w:bCs/>
                      <w:color w:val="auto"/>
                      <w:szCs w:val="21"/>
                    </w:rPr>
                  </w:pPr>
                </w:p>
              </w:tc>
              <w:tc>
                <w:tcPr>
                  <w:tcW w:w="1500" w:type="dxa"/>
                  <w:noWrap w:val="0"/>
                  <w:vAlign w:val="center"/>
                </w:tcPr>
                <w:p>
                  <w:pPr>
                    <w:pStyle w:val="57"/>
                    <w:adjustRightInd/>
                    <w:snapToGrid/>
                    <w:spacing w:beforeLines="0" w:afterLines="0" w:line="240" w:lineRule="auto"/>
                    <w:rPr>
                      <w:rFonts w:ascii="Times New Roman"/>
                      <w:color w:val="auto"/>
                      <w:szCs w:val="21"/>
                    </w:rPr>
                  </w:pPr>
                  <w:r>
                    <w:rPr>
                      <w:rFonts w:ascii="Times New Roman"/>
                      <w:color w:val="auto"/>
                      <w:szCs w:val="21"/>
                    </w:rPr>
                    <w:t>X</w:t>
                  </w:r>
                </w:p>
              </w:tc>
              <w:tc>
                <w:tcPr>
                  <w:tcW w:w="1455" w:type="dxa"/>
                  <w:noWrap w:val="0"/>
                  <w:vAlign w:val="center"/>
                </w:tcPr>
                <w:p>
                  <w:pPr>
                    <w:pStyle w:val="57"/>
                    <w:adjustRightInd/>
                    <w:snapToGrid/>
                    <w:spacing w:beforeLines="0" w:afterLines="0" w:line="240" w:lineRule="auto"/>
                    <w:rPr>
                      <w:rFonts w:ascii="Times New Roman"/>
                      <w:color w:val="auto"/>
                      <w:szCs w:val="21"/>
                    </w:rPr>
                  </w:pPr>
                  <w:r>
                    <w:rPr>
                      <w:rFonts w:ascii="Times New Roman"/>
                      <w:color w:val="auto"/>
                      <w:szCs w:val="21"/>
                    </w:rPr>
                    <w:t>Y</w:t>
                  </w:r>
                </w:p>
              </w:tc>
              <w:tc>
                <w:tcPr>
                  <w:tcW w:w="888" w:type="dxa"/>
                  <w:vMerge w:val="continue"/>
                  <w:noWrap w:val="0"/>
                  <w:vAlign w:val="center"/>
                </w:tcPr>
                <w:p>
                  <w:pPr>
                    <w:rPr>
                      <w:color w:val="auto"/>
                      <w:szCs w:val="21"/>
                    </w:rPr>
                  </w:pPr>
                </w:p>
              </w:tc>
              <w:tc>
                <w:tcPr>
                  <w:tcW w:w="727" w:type="dxa"/>
                  <w:vMerge w:val="continue"/>
                  <w:noWrap w:val="0"/>
                  <w:vAlign w:val="center"/>
                </w:tcPr>
                <w:p>
                  <w:pPr>
                    <w:rPr>
                      <w:color w:val="auto"/>
                      <w:szCs w:val="21"/>
                    </w:rPr>
                  </w:pPr>
                </w:p>
              </w:tc>
              <w:tc>
                <w:tcPr>
                  <w:tcW w:w="1020" w:type="dxa"/>
                  <w:vMerge w:val="continue"/>
                  <w:noWrap w:val="0"/>
                  <w:vAlign w:val="center"/>
                </w:tcPr>
                <w:p>
                  <w:pPr>
                    <w:rPr>
                      <w:color w:val="auto"/>
                      <w:szCs w:val="21"/>
                    </w:rPr>
                  </w:pPr>
                </w:p>
              </w:tc>
              <w:tc>
                <w:tcPr>
                  <w:tcW w:w="871" w:type="dxa"/>
                  <w:vMerge w:val="continue"/>
                  <w:noWrap w:val="0"/>
                  <w:vAlign w:val="center"/>
                </w:tcPr>
                <w:p>
                  <w:pPr>
                    <w:rPr>
                      <w:color w:val="auto"/>
                      <w:szCs w:val="21"/>
                    </w:rPr>
                  </w:pPr>
                </w:p>
              </w:tc>
              <w:tc>
                <w:tcPr>
                  <w:tcW w:w="939"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4" w:type="dxa"/>
                  <w:noWrap w:val="0"/>
                  <w:vAlign w:val="center"/>
                </w:tcPr>
                <w:p>
                  <w:pPr>
                    <w:pStyle w:val="57"/>
                    <w:adjustRightInd/>
                    <w:snapToGrid/>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前景村居民</w:t>
                  </w:r>
                </w:p>
              </w:tc>
              <w:tc>
                <w:tcPr>
                  <w:tcW w:w="1500" w:type="dxa"/>
                  <w:noWrap w:val="0"/>
                  <w:vAlign w:val="center"/>
                </w:tcPr>
                <w:p>
                  <w:pPr>
                    <w:pStyle w:val="57"/>
                    <w:adjustRightInd/>
                    <w:snapToGrid/>
                    <w:spacing w:beforeLines="0" w:afterLines="0" w:line="240" w:lineRule="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130.29707909</w:t>
                  </w:r>
                </w:p>
              </w:tc>
              <w:tc>
                <w:tcPr>
                  <w:tcW w:w="1455" w:type="dxa"/>
                  <w:noWrap w:val="0"/>
                  <w:vAlign w:val="center"/>
                </w:tcPr>
                <w:p>
                  <w:pPr>
                    <w:pStyle w:val="57"/>
                    <w:adjustRightInd/>
                    <w:snapToGrid/>
                    <w:spacing w:beforeLines="0" w:afterLines="0" w:line="240" w:lineRule="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48.66122003</w:t>
                  </w:r>
                </w:p>
              </w:tc>
              <w:tc>
                <w:tcPr>
                  <w:tcW w:w="888" w:type="dxa"/>
                  <w:noWrap w:val="0"/>
                  <w:vAlign w:val="center"/>
                </w:tcPr>
                <w:p>
                  <w:pPr>
                    <w:pStyle w:val="57"/>
                    <w:adjustRightInd/>
                    <w:snapToGrid/>
                    <w:spacing w:beforeLines="0" w:afterLines="0" w:line="240" w:lineRule="auto"/>
                    <w:rPr>
                      <w:rFonts w:ascii="Times New Roman"/>
                      <w:bCs/>
                      <w:color w:val="auto"/>
                      <w:szCs w:val="21"/>
                    </w:rPr>
                  </w:pPr>
                  <w:r>
                    <w:rPr>
                      <w:rFonts w:ascii="Times New Roman"/>
                      <w:bCs/>
                      <w:color w:val="auto"/>
                      <w:szCs w:val="21"/>
                    </w:rPr>
                    <w:t>居住区</w:t>
                  </w:r>
                </w:p>
              </w:tc>
              <w:tc>
                <w:tcPr>
                  <w:tcW w:w="727" w:type="dxa"/>
                  <w:noWrap w:val="0"/>
                  <w:vAlign w:val="center"/>
                </w:tcPr>
                <w:p>
                  <w:pPr>
                    <w:pStyle w:val="57"/>
                    <w:adjustRightInd/>
                    <w:snapToGrid/>
                    <w:spacing w:beforeLines="0" w:afterLines="0" w:line="240" w:lineRule="auto"/>
                    <w:rPr>
                      <w:rFonts w:ascii="Times New Roman"/>
                      <w:bCs/>
                      <w:color w:val="auto"/>
                      <w:szCs w:val="21"/>
                    </w:rPr>
                  </w:pPr>
                  <w:r>
                    <w:rPr>
                      <w:rFonts w:ascii="Times New Roman"/>
                      <w:bCs/>
                      <w:color w:val="auto"/>
                      <w:szCs w:val="21"/>
                    </w:rPr>
                    <w:t>人群</w:t>
                  </w:r>
                </w:p>
              </w:tc>
              <w:tc>
                <w:tcPr>
                  <w:tcW w:w="1020" w:type="dxa"/>
                  <w:noWrap w:val="0"/>
                  <w:vAlign w:val="center"/>
                </w:tcPr>
                <w:p>
                  <w:pPr>
                    <w:pStyle w:val="57"/>
                    <w:spacing w:before="24" w:after="24" w:line="240" w:lineRule="auto"/>
                    <w:ind w:left="-3" w:leftChars="0" w:firstLine="3" w:firstLineChars="0"/>
                    <w:rPr>
                      <w:rFonts w:ascii="Times New Roman"/>
                      <w:bCs/>
                      <w:color w:val="auto"/>
                      <w:szCs w:val="21"/>
                    </w:rPr>
                  </w:pPr>
                  <w:r>
                    <w:rPr>
                      <w:rFonts w:ascii="Times New Roman"/>
                      <w:bCs/>
                      <w:color w:val="auto"/>
                      <w:szCs w:val="21"/>
                    </w:rPr>
                    <w:t>二类区</w:t>
                  </w:r>
                </w:p>
              </w:tc>
              <w:tc>
                <w:tcPr>
                  <w:tcW w:w="871" w:type="dxa"/>
                  <w:noWrap w:val="0"/>
                  <w:vAlign w:val="center"/>
                </w:tcPr>
                <w:p>
                  <w:pPr>
                    <w:jc w:val="center"/>
                    <w:rPr>
                      <w:rFonts w:hint="default"/>
                      <w:color w:val="auto"/>
                      <w:lang w:val="en-US" w:eastAsia="zh-CN"/>
                    </w:rPr>
                  </w:pPr>
                  <w:r>
                    <w:rPr>
                      <w:rFonts w:hint="eastAsia"/>
                      <w:color w:val="auto"/>
                      <w:lang w:val="en-US" w:eastAsia="zh-CN"/>
                    </w:rPr>
                    <w:t>北</w:t>
                  </w:r>
                </w:p>
              </w:tc>
              <w:tc>
                <w:tcPr>
                  <w:tcW w:w="939" w:type="dxa"/>
                  <w:noWrap w:val="0"/>
                  <w:vAlign w:val="center"/>
                </w:tcPr>
                <w:p>
                  <w:pPr>
                    <w:jc w:val="center"/>
                    <w:rPr>
                      <w:rFonts w:hint="eastAsia"/>
                      <w:color w:val="auto"/>
                      <w:szCs w:val="21"/>
                      <w:lang w:val="en-US" w:eastAsia="zh-CN"/>
                    </w:rPr>
                  </w:pPr>
                  <w:r>
                    <w:rPr>
                      <w:rFonts w:hint="eastAsia"/>
                      <w:color w:val="auto"/>
                      <w:lang w:val="en-US" w:eastAsia="zh-CN"/>
                    </w:rPr>
                    <w:t>80m</w:t>
                  </w:r>
                </w:p>
              </w:tc>
            </w:tr>
          </w:tbl>
          <w:p>
            <w:pPr>
              <w:spacing w:line="360" w:lineRule="auto"/>
              <w:ind w:firstLine="498" w:firstLineChars="200"/>
              <w:rPr>
                <w:color w:val="auto"/>
                <w:spacing w:val="4"/>
                <w:sz w:val="24"/>
              </w:rPr>
            </w:pPr>
            <w:r>
              <w:rPr>
                <w:b/>
                <w:bCs/>
                <w:color w:val="auto"/>
                <w:spacing w:val="4"/>
                <w:sz w:val="24"/>
              </w:rPr>
              <w:t>2、地表水保护目标</w:t>
            </w:r>
            <w:r>
              <w:rPr>
                <w:color w:val="auto"/>
                <w:spacing w:val="4"/>
                <w:sz w:val="24"/>
              </w:rPr>
              <w:t>：本项目用地范围及附近不涉及饮用水水源保护区、饮用水取水口、涉水的自然保护区、风景名胜区、重要湿地、重点保护与珍稀水生生物的梄息地、重要水生生物的自然产卵场及索饵场、越冬场和洄游通道、天然渔场等渔业水体以及水产种质资源保护区等地表水环境保护目标。</w:t>
            </w:r>
          </w:p>
          <w:p>
            <w:pPr>
              <w:spacing w:line="360" w:lineRule="auto"/>
              <w:ind w:firstLine="498" w:firstLineChars="200"/>
              <w:rPr>
                <w:color w:val="auto"/>
                <w:spacing w:val="4"/>
                <w:sz w:val="24"/>
              </w:rPr>
            </w:pPr>
            <w:r>
              <w:rPr>
                <w:b/>
                <w:bCs/>
                <w:color w:val="auto"/>
                <w:spacing w:val="4"/>
                <w:sz w:val="24"/>
              </w:rPr>
              <w:t>3、声环境保护目标</w:t>
            </w:r>
            <w:r>
              <w:rPr>
                <w:color w:val="auto"/>
                <w:spacing w:val="4"/>
                <w:sz w:val="24"/>
              </w:rPr>
              <w:t>：</w:t>
            </w:r>
          </w:p>
          <w:p>
            <w:pPr>
              <w:pStyle w:val="5"/>
              <w:rPr>
                <w:rFonts w:hint="default" w:ascii="Times New Roman" w:hAnsi="Times New Roman" w:eastAsia="宋体" w:cs="Times New Roman"/>
                <w:color w:val="auto"/>
                <w:spacing w:val="4"/>
                <w:kern w:val="2"/>
                <w:sz w:val="24"/>
                <w:szCs w:val="24"/>
                <w:u w:val="none"/>
                <w:lang w:val="en-US" w:eastAsia="zh-CN" w:bidi="ar-SA"/>
              </w:rPr>
            </w:pPr>
            <w:r>
              <w:rPr>
                <w:rFonts w:hint="eastAsia" w:ascii="Times New Roman" w:hAnsi="Times New Roman" w:eastAsia="宋体" w:cs="Times New Roman"/>
                <w:color w:val="auto"/>
                <w:spacing w:val="4"/>
                <w:kern w:val="2"/>
                <w:sz w:val="24"/>
                <w:szCs w:val="24"/>
                <w:u w:val="none"/>
                <w:lang w:val="en-US" w:eastAsia="zh-CN" w:bidi="ar-SA"/>
              </w:rPr>
              <w:t>本项目厂界外50m范围内无声环境保护目标。</w:t>
            </w:r>
          </w:p>
          <w:p>
            <w:pPr>
              <w:pStyle w:val="23"/>
              <w:spacing w:line="360" w:lineRule="auto"/>
              <w:ind w:left="0" w:leftChars="0" w:firstLine="498" w:firstLineChars="200"/>
              <w:rPr>
                <w:color w:val="auto"/>
                <w:spacing w:val="4"/>
                <w:sz w:val="24"/>
              </w:rPr>
            </w:pPr>
            <w:r>
              <w:rPr>
                <w:b/>
                <w:bCs/>
                <w:color w:val="auto"/>
                <w:spacing w:val="4"/>
                <w:sz w:val="24"/>
              </w:rPr>
              <w:t>4、地下水保护目标</w:t>
            </w:r>
            <w:r>
              <w:rPr>
                <w:color w:val="auto"/>
                <w:spacing w:val="4"/>
                <w:sz w:val="24"/>
              </w:rPr>
              <w:t>：</w:t>
            </w:r>
            <w:r>
              <w:rPr>
                <w:bCs/>
                <w:color w:val="auto"/>
                <w:sz w:val="24"/>
              </w:rPr>
              <w:t>本项目</w:t>
            </w:r>
            <w:r>
              <w:rPr>
                <w:color w:val="auto"/>
                <w:spacing w:val="4"/>
                <w:sz w:val="24"/>
              </w:rPr>
              <w:t>厂界外500m范围内无地下水集中式饮用水水源和热水、矿泉水、温泉等特殊地下水资源。</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58"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80" w:type="dxa"/>
            <w:noWrap w:val="0"/>
            <w:vAlign w:val="top"/>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大气污染物排放标准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ascii="Times New Roman" w:hAnsi="Times New Roman" w:cs="Times New Roman"/>
                <w:bCs/>
                <w:color w:val="auto"/>
                <w:kern w:val="0"/>
                <w:sz w:val="24"/>
              </w:rPr>
              <w:t>施工期扬尘</w:t>
            </w:r>
            <w:r>
              <w:rPr>
                <w:rFonts w:hint="eastAsia" w:ascii="Times New Roman" w:hAnsi="Times New Roman" w:cs="Times New Roman"/>
                <w:bCs/>
                <w:color w:val="auto"/>
                <w:kern w:val="0"/>
                <w:sz w:val="24"/>
                <w:lang w:val="en-US" w:eastAsia="zh-CN"/>
              </w:rPr>
              <w:t>及</w:t>
            </w:r>
            <w:r>
              <w:rPr>
                <w:rFonts w:hint="default" w:ascii="Times New Roman" w:hAnsi="Times New Roman" w:eastAsia="宋体" w:cs="Times New Roman"/>
                <w:color w:val="auto"/>
                <w:sz w:val="24"/>
                <w:szCs w:val="24"/>
                <w:lang w:val="en-US" w:eastAsia="zh-CN"/>
              </w:rPr>
              <w:t>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颗粒物无组织排放执行《大气污染物综合排放标准》（GB16297-1996）表2中无组织排放浓度监控限值要求。</w:t>
            </w:r>
            <w:r>
              <w:rPr>
                <w:rFonts w:hint="eastAsia" w:cs="Times New Roman"/>
                <w:color w:val="auto"/>
                <w:sz w:val="24"/>
                <w:szCs w:val="24"/>
                <w:lang w:val="en-US" w:eastAsia="zh-CN"/>
              </w:rPr>
              <w:t>工业炉窑周边执行</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中表3标准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5 无组织废气排放标准</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988"/>
              <w:gridCol w:w="1279"/>
              <w:gridCol w:w="3219"/>
              <w:gridCol w:w="3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68"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排放</w:t>
                  </w:r>
                  <w:r>
                    <w:rPr>
                      <w:rFonts w:hint="eastAsia" w:cs="Times New Roman"/>
                      <w:color w:val="auto"/>
                      <w:lang w:val="en-US" w:eastAsia="zh-CN"/>
                    </w:rPr>
                    <w:t>形式</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排放监控浓度限值</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周界外浓度最高点：</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工业炉窑周边：5.0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eastAsia" w:cs="Times New Roman"/>
                      <w:color w:val="auto"/>
                      <w:lang w:val="en-US" w:eastAsia="zh-CN"/>
                    </w:rPr>
                  </w:pPr>
                  <w:r>
                    <w:rPr>
                      <w:rFonts w:hint="eastAsia" w:cs="Times New Roman"/>
                      <w:color w:val="auto"/>
                      <w:lang w:val="en-US" w:eastAsia="zh-CN"/>
                    </w:rPr>
                    <w:t>《工业炉窑大气污染物排放标准》（GB9078-1996）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本项目运营期热风炉烟尘、SO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、烟气黑度排放执行《工业炉窑大气污染物排放标准》（GB9078-1996）中表2和表4二级标准。</w:t>
            </w:r>
          </w:p>
          <w:p>
            <w:pPr>
              <w:pStyle w:val="80"/>
              <w:adjustRightInd/>
              <w:snapToGrid/>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《工业炉窑大气污染物排放标准》（GB9078-1996）</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1454"/>
              <w:gridCol w:w="806"/>
              <w:gridCol w:w="4647"/>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8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806"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排放源</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排放</w:t>
                  </w:r>
                  <w:r>
                    <w:rPr>
                      <w:rFonts w:hint="default" w:ascii="Times New Roman" w:hAnsi="Times New Roman" w:eastAsia="宋体" w:cs="Times New Roman"/>
                      <w:color w:val="auto"/>
                      <w:lang w:eastAsia="zh-CN"/>
                    </w:rPr>
                    <w:t>限值（</w:t>
                  </w:r>
                  <w:r>
                    <w:rPr>
                      <w:rFonts w:hint="default" w:ascii="Times New Roman" w:hAnsi="Times New Roman" w:eastAsia="宋体" w:cs="Times New Roman"/>
                      <w:color w:val="auto"/>
                      <w:lang w:val="en-US" w:eastAsia="zh-CN"/>
                    </w:rPr>
                    <w:t>标准级别：二级</w:t>
                  </w:r>
                  <w:r>
                    <w:rPr>
                      <w:rFonts w:hint="default" w:ascii="Times New Roman" w:hAnsi="Times New Roman" w:eastAsia="宋体" w:cs="Times New Roman"/>
                      <w:color w:val="auto"/>
                      <w:lang w:eastAsia="zh-CN"/>
                    </w:rPr>
                    <w:t>）</w:t>
                  </w:r>
                </w:p>
              </w:tc>
              <w:tc>
                <w:tcPr>
                  <w:tcW w:w="16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4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806"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有组织</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烟（粉）尘浓度：200mg/m</w:t>
                  </w:r>
                  <w:r>
                    <w:rPr>
                      <w:rFonts w:hint="default" w:ascii="Times New Roman" w:hAnsi="Times New Roman" w:eastAsia="宋体" w:cs="Times New Roman"/>
                      <w:color w:val="auto"/>
                      <w:vertAlign w:val="superscript"/>
                      <w:lang w:val="en-US" w:eastAsia="zh-CN"/>
                    </w:rPr>
                    <w:t>3</w:t>
                  </w:r>
                </w:p>
              </w:tc>
              <w:tc>
                <w:tcPr>
                  <w:tcW w:w="1654"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《工业炉窑大气污染物排放标准》（GB9078-1996）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9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（林格曼级）</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烟气黑度：1</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9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窑炉类别：燃煤（油）炉、窑</w:t>
                  </w:r>
                </w:p>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二氧化硫排放浓度：850mg/m</w:t>
                  </w:r>
                  <w:r>
                    <w:rPr>
                      <w:rFonts w:hint="default" w:ascii="Times New Roman" w:hAnsi="Times New Roman" w:eastAsia="宋体" w:cs="Times New Roman"/>
                      <w:color w:val="auto"/>
                      <w:vertAlign w:val="superscript"/>
                      <w:lang w:val="en-US" w:eastAsia="zh-CN"/>
                    </w:rPr>
                    <w:t>3</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0" w:hRule="atLeast"/>
                <w:jc w:val="center"/>
              </w:trPr>
              <w:tc>
                <w:tcPr>
                  <w:tcW w:w="8561" w:type="dxa"/>
                  <w:gridSpan w:val="4"/>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烟囱最低允许高度15m</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噪声排放标准</w:t>
            </w:r>
          </w:p>
          <w:p>
            <w:pPr>
              <w:adjustRightInd w:val="0"/>
              <w:spacing w:line="360" w:lineRule="auto"/>
              <w:ind w:firstLine="480" w:firstLineChars="200"/>
              <w:textAlignment w:val="baseline"/>
              <w:rPr>
                <w:color w:val="auto"/>
                <w:kern w:val="0"/>
                <w:sz w:val="24"/>
              </w:rPr>
            </w:pPr>
            <w:r>
              <w:rPr>
                <w:color w:val="auto"/>
                <w:kern w:val="0"/>
                <w:sz w:val="24"/>
              </w:rPr>
              <w:t>施工期厂界噪声执行《建筑施工场界环境噪声排放标准》</w:t>
            </w:r>
            <w:r>
              <w:rPr>
                <w:rFonts w:hint="eastAsia"/>
                <w:color w:val="auto"/>
                <w:kern w:val="0"/>
                <w:sz w:val="24"/>
                <w:lang w:eastAsia="zh-CN"/>
              </w:rPr>
              <w:t>（</w:t>
            </w:r>
            <w:r>
              <w:rPr>
                <w:color w:val="auto"/>
                <w:kern w:val="0"/>
                <w:sz w:val="24"/>
              </w:rPr>
              <w:t>GB12523-2011</w:t>
            </w:r>
            <w:r>
              <w:rPr>
                <w:rFonts w:hint="eastAsia"/>
                <w:color w:val="auto"/>
                <w:kern w:val="0"/>
                <w:sz w:val="24"/>
                <w:lang w:eastAsia="zh-CN"/>
              </w:rPr>
              <w:t>）</w:t>
            </w:r>
            <w:r>
              <w:rPr>
                <w:color w:val="auto"/>
                <w:kern w:val="0"/>
                <w:sz w:val="24"/>
              </w:rPr>
              <w:t>，见表3</w:t>
            </w:r>
            <w:r>
              <w:rPr>
                <w:rFonts w:hint="eastAsia"/>
                <w:color w:val="auto"/>
                <w:kern w:val="0"/>
                <w:sz w:val="24"/>
              </w:rPr>
              <w:t>-</w:t>
            </w:r>
            <w:r>
              <w:rPr>
                <w:rFonts w:hint="eastAsia"/>
                <w:color w:val="auto"/>
                <w:kern w:val="0"/>
                <w:sz w:val="24"/>
                <w:lang w:val="en-US" w:eastAsia="zh-CN"/>
              </w:rPr>
              <w:t>7</w:t>
            </w:r>
            <w:r>
              <w:rPr>
                <w:color w:val="auto"/>
                <w:kern w:val="0"/>
                <w:sz w:val="24"/>
              </w:rPr>
              <w:t>。</w:t>
            </w:r>
          </w:p>
          <w:p>
            <w:pPr>
              <w:jc w:val="center"/>
              <w:rPr>
                <w:b/>
                <w:bCs/>
                <w:color w:val="auto"/>
                <w:sz w:val="21"/>
                <w:szCs w:val="24"/>
              </w:rPr>
            </w:pPr>
            <w:r>
              <w:rPr>
                <w:b/>
                <w:bCs/>
                <w:color w:val="auto"/>
                <w:sz w:val="21"/>
                <w:szCs w:val="24"/>
              </w:rPr>
              <w:t>表3</w:t>
            </w:r>
            <w:r>
              <w:rPr>
                <w:rFonts w:hint="eastAsia"/>
                <w:b/>
                <w:bCs/>
                <w:color w:val="auto"/>
                <w:sz w:val="21"/>
                <w:szCs w:val="24"/>
              </w:rPr>
              <w:t>-</w:t>
            </w:r>
            <w:r>
              <w:rPr>
                <w:rFonts w:hint="eastAsia"/>
                <w:b/>
                <w:bCs/>
                <w:color w:val="auto"/>
                <w:sz w:val="21"/>
                <w:szCs w:val="24"/>
                <w:lang w:val="en-US" w:eastAsia="zh-CN"/>
              </w:rPr>
              <w:t>7</w:t>
            </w:r>
            <w:r>
              <w:rPr>
                <w:b/>
                <w:bCs/>
                <w:color w:val="auto"/>
                <w:sz w:val="21"/>
                <w:szCs w:val="24"/>
              </w:rPr>
              <w:t xml:space="preserve"> 建筑施工场界环境噪声排放标准  单位：dB(A)</w:t>
            </w:r>
          </w:p>
          <w:tbl>
            <w:tblPr>
              <w:tblStyle w:val="30"/>
              <w:tblW w:w="7938"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067"/>
              <w:gridCol w:w="3871"/>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昼间</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夜间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70</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噪声执行《工业企业厂界环境噪声排放标准》(GB12348-2008)表1中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r>
              <w:rPr>
                <w:rFonts w:hint="eastAsia" w:cs="Times New Roman"/>
                <w:color w:val="auto"/>
                <w:sz w:val="24"/>
                <w:szCs w:val="24"/>
                <w:lang w:val="en-US" w:eastAsia="zh-CN"/>
              </w:rPr>
              <w:t>。</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lang w:val="en-US" w:eastAsia="zh-CN"/>
              </w:rPr>
              <w:t>《工业企业厂界环境噪声排放标准》(GB12348-2008)</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1575"/>
              <w:gridCol w:w="1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项目</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昼间</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《工业企业厂界环境噪声排放标准》(GB12348-2008)表</w:t>
                  </w: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中</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类标准</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60</w:t>
                  </w:r>
                  <w:r>
                    <w:rPr>
                      <w:rFonts w:hint="default" w:ascii="Times New Roman" w:hAnsi="Times New Roman" w:eastAsia="宋体" w:cs="Times New Roman"/>
                      <w:color w:val="auto"/>
                      <w:spacing w:val="5"/>
                      <w:szCs w:val="21"/>
                      <w:lang w:val="en-US" w:eastAsia="zh-CN"/>
                    </w:rPr>
                    <w:t>dB（A）</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固体废物排放标准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本项目运营期一般固体废物执行《一般工业固体废物贮存和填埋污染控制标准》（GB 18599-2020）</w:t>
            </w:r>
            <w:r>
              <w:rPr>
                <w:rFonts w:hint="eastAsia" w:ascii="Times New Roman" w:hAnsi="Times New Roman" w:eastAsia="宋体" w:cs="Times New Roman"/>
                <w:color w:val="auto"/>
                <w:sz w:val="24"/>
                <w:szCs w:val="24"/>
                <w:lang w:val="en-US" w:eastAsia="zh-CN"/>
              </w:rPr>
              <w:t>；《一般固体废物分类与代码》（GB/T39198-2020）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7"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指标</w:t>
            </w:r>
          </w:p>
        </w:tc>
        <w:tc>
          <w:tcPr>
            <w:tcW w:w="8780"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p>
          <w:p>
            <w:pPr>
              <w:pStyle w:val="80"/>
              <w:adjustRightInd/>
              <w:snapToGrid/>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9 </w:t>
            </w:r>
            <w:r>
              <w:rPr>
                <w:rFonts w:hint="default" w:ascii="Times New Roman" w:hAnsi="Times New Roman" w:cs="Times New Roman"/>
                <w:b/>
                <w:bCs/>
                <w:color w:val="auto"/>
                <w:sz w:val="21"/>
                <w:szCs w:val="21"/>
                <w:highlight w:val="none"/>
                <w:lang w:val="en-US" w:eastAsia="zh-CN"/>
              </w:rPr>
              <w:t>本项目总量控制指标情况表  单位：t/a</w:t>
            </w:r>
          </w:p>
          <w:tbl>
            <w:tblPr>
              <w:tblStyle w:val="31"/>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2866"/>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6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颗粒物（粉尘）</w:t>
                  </w:r>
                </w:p>
              </w:tc>
              <w:tc>
                <w:tcPr>
                  <w:tcW w:w="286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0.624</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颗粒物（烟尘）</w:t>
                  </w:r>
                </w:p>
              </w:tc>
              <w:tc>
                <w:tcPr>
                  <w:tcW w:w="2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0.073 </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0.101 </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0.614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28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1.781</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18" w:name="_Toc11491"/>
      <w:bookmarkStart w:id="19" w:name="_Toc16636"/>
      <w:r>
        <w:rPr>
          <w:rFonts w:hint="default" w:ascii="Times New Roman" w:hAnsi="Times New Roman" w:eastAsia="黑体" w:cs="Times New Roman"/>
          <w:snapToGrid w:val="0"/>
          <w:color w:val="auto"/>
          <w:sz w:val="30"/>
          <w:szCs w:val="30"/>
        </w:rPr>
        <w:t>四、主要环境影响和保护措施</w:t>
      </w:r>
      <w:bookmarkEnd w:id="18"/>
      <w:bookmarkEnd w:id="19"/>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56" w:type="dxa"/>
            <w:noWrap w:val="0"/>
            <w:tcMar>
              <w:left w:w="28" w:type="dxa"/>
              <w:right w:w="28" w:type="dxa"/>
            </w:tcMar>
            <w:vAlign w:val="center"/>
          </w:tcPr>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4"/>
                <w:szCs w:val="24"/>
              </w:rPr>
              <w:t>施</w:t>
            </w:r>
          </w:p>
        </w:tc>
        <w:tc>
          <w:tcPr>
            <w:tcW w:w="88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施工期污染主要是运输汽车及施工机械产生的噪声、扬尘和施工人员产生的固体废物、生活污水等。本项目施工期内容主要为设备的安装。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一、废水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w:t>
            </w:r>
            <w:r>
              <w:rPr>
                <w:rFonts w:hint="eastAsia"/>
                <w:color w:val="auto"/>
                <w:sz w:val="24"/>
                <w:lang w:val="en-US" w:eastAsia="zh-CN"/>
              </w:rPr>
              <w:t>无生产废水产生</w:t>
            </w:r>
            <w:r>
              <w:rPr>
                <w:rFonts w:hint="eastAsia"/>
                <w:color w:val="auto"/>
                <w:sz w:val="24"/>
              </w:rPr>
              <w:t>。施工人员生活污水排入防渗旱厕，定期清掏。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lang w:val="en-US" w:eastAsia="zh-CN"/>
              </w:rPr>
              <w:t>二、</w:t>
            </w:r>
            <w:r>
              <w:rPr>
                <w:rFonts w:hint="eastAsia"/>
                <w:color w:val="auto"/>
                <w:sz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施工场地洒水抑尘，防止扬尘对周围环境空气的影响。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三、噪声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施工期选用低噪声设备，加强运输车辆管理，夜间停止施工等措施，采取</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rPr>
            </w:pPr>
            <w:r>
              <w:rPr>
                <w:rFonts w:hint="eastAsia"/>
                <w:color w:val="auto"/>
                <w:sz w:val="24"/>
              </w:rPr>
              <w:t>措施后场界噪声符合《建筑施工场界环境噪声排放标准》(GB12523-2011)要求。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四、固体废物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eastAsia"/>
                <w:color w:val="auto"/>
                <w:sz w:val="24"/>
              </w:rPr>
              <w:t>本项目施工人员约</w:t>
            </w:r>
            <w:r>
              <w:rPr>
                <w:rFonts w:hint="eastAsia"/>
                <w:color w:val="auto"/>
                <w:sz w:val="24"/>
                <w:lang w:val="en-US" w:eastAsia="zh-CN"/>
              </w:rPr>
              <w:t>10</w:t>
            </w:r>
            <w:r>
              <w:rPr>
                <w:rFonts w:hint="eastAsia"/>
                <w:color w:val="auto"/>
                <w:sz w:val="24"/>
              </w:rPr>
              <w:t>人，按照每人每天产生垃圾 0.5kg，工作日以</w:t>
            </w:r>
            <w:r>
              <w:rPr>
                <w:rFonts w:hint="eastAsia"/>
                <w:color w:val="auto"/>
                <w:sz w:val="24"/>
                <w:lang w:val="en-US" w:eastAsia="zh-CN"/>
              </w:rPr>
              <w:t>30</w:t>
            </w:r>
            <w:r>
              <w:rPr>
                <w:rFonts w:hint="eastAsia"/>
                <w:color w:val="auto"/>
                <w:sz w:val="24"/>
              </w:rPr>
              <w:t>d 计算，则生活垃圾的产生量为0.</w:t>
            </w:r>
            <w:r>
              <w:rPr>
                <w:rFonts w:hint="eastAsia"/>
                <w:color w:val="auto"/>
                <w:sz w:val="24"/>
                <w:lang w:val="en-US" w:eastAsia="zh-CN"/>
              </w:rPr>
              <w:t>15</w:t>
            </w:r>
            <w:r>
              <w:rPr>
                <w:rFonts w:hint="eastAsia"/>
                <w:color w:val="auto"/>
                <w:sz w:val="24"/>
              </w:rPr>
              <w:t>t/a。产生的生活垃圾定点袋装后交由市政部门统一处理。建筑垃圾运送至指定地点处置，不对外随意排放，对当地环境影响较小</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5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措施</w:t>
            </w:r>
          </w:p>
        </w:tc>
        <w:tc>
          <w:tcPr>
            <w:tcW w:w="888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一</w:t>
            </w:r>
            <w:r>
              <w:rPr>
                <w:rFonts w:hint="default" w:ascii="Times New Roman" w:hAnsi="Times New Roman" w:eastAsia="宋体" w:cs="Times New Roman"/>
                <w:b/>
                <w:bCs w:val="0"/>
                <w:color w:val="auto"/>
                <w:spacing w:val="-10"/>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1、产污核算</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本项目主要废气源为</w:t>
            </w:r>
            <w:r>
              <w:rPr>
                <w:rFonts w:hint="eastAsia" w:cs="Times New Roman"/>
                <w:bCs/>
                <w:color w:val="auto"/>
                <w:spacing w:val="-10"/>
                <w:sz w:val="24"/>
                <w:szCs w:val="24"/>
                <w:lang w:val="en-US" w:eastAsia="zh-CN"/>
              </w:rPr>
              <w:t>粮食</w:t>
            </w:r>
            <w:r>
              <w:rPr>
                <w:rFonts w:hint="default" w:ascii="Times New Roman" w:hAnsi="Times New Roman" w:eastAsia="宋体" w:cs="Times New Roman"/>
                <w:bCs/>
                <w:color w:val="auto"/>
                <w:spacing w:val="-10"/>
                <w:sz w:val="24"/>
                <w:szCs w:val="24"/>
                <w:lang w:val="en-US" w:eastAsia="zh-CN"/>
              </w:rPr>
              <w:t>装卸、筛分、输送等过程产生的颗粒物、玉米烘干过程产生的颗粒物、热风炉产生的含颗粒物、二氧化硫、氮氧化物的烟气。热风炉布袋除尘器及炉底定期清灰后，灰渣直接装袋封装，灰渣仓库临时堆放，产生少量粉尘可忽略不计</w:t>
            </w:r>
            <w:r>
              <w:rPr>
                <w:rFonts w:hint="eastAsia" w:cs="Times New Roman"/>
                <w:bCs/>
                <w:color w:val="auto"/>
                <w:spacing w:val="-10"/>
                <w:sz w:val="24"/>
                <w:szCs w:val="24"/>
                <w:lang w:val="en-US" w:eastAsia="zh-CN"/>
              </w:rPr>
              <w:t>，粮食晒场晾晒的潮粮含水率约29%，且原粮堆存高度较低，</w:t>
            </w:r>
            <w:r>
              <w:rPr>
                <w:rFonts w:hint="default" w:ascii="Times New Roman" w:hAnsi="Times New Roman" w:eastAsia="宋体" w:cs="Times New Roman"/>
                <w:bCs/>
                <w:color w:val="auto"/>
                <w:spacing w:val="-10"/>
                <w:sz w:val="24"/>
                <w:szCs w:val="24"/>
                <w:lang w:val="en-US" w:eastAsia="zh-CN"/>
              </w:rPr>
              <w:t>产生少量粉尘可忽略不计</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为降低颗粒物排放量，本项目</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清选工艺采用封闭式清理筛；烘干塔体两侧排气孔设置折流挡板，有效降低颗粒物无组织排放量。热风炉烟气经布袋除尘器净化后由15m高烟囱高空排放。</w:t>
            </w:r>
            <w:r>
              <w:rPr>
                <w:rFonts w:hint="default" w:ascii="Times New Roman" w:hAnsi="Times New Roman" w:eastAsia="宋体" w:cs="Times New Roman"/>
                <w:bCs/>
                <w:color w:val="auto"/>
                <w:spacing w:val="-10"/>
                <w:sz w:val="24"/>
                <w:szCs w:val="24"/>
                <w:lang w:val="en-US" w:eastAsia="zh-CN"/>
              </w:rPr>
              <w:t>废气污染源源强核算内容如下：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（1）装卸、输送粉尘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本项目玉米装卸、输送过程中会产生废气，主要污染物为颗粒物，根据《逸散性工业粉尘控制技术》中谷物贮仓，卡车卸</w:t>
            </w:r>
            <w:r>
              <w:rPr>
                <w:rFonts w:hint="eastAsia" w:cs="Times New Roman"/>
                <w:bCs/>
                <w:color w:val="auto"/>
                <w:spacing w:val="-10"/>
                <w:sz w:val="24"/>
                <w:szCs w:val="24"/>
                <w:highlight w:val="none"/>
                <w:lang w:val="en-US" w:eastAsia="zh-CN"/>
              </w:rPr>
              <w:t>料</w:t>
            </w:r>
            <w:r>
              <w:rPr>
                <w:rFonts w:hint="default" w:ascii="Times New Roman" w:hAnsi="Times New Roman" w:eastAsia="宋体" w:cs="Times New Roman"/>
                <w:bCs/>
                <w:color w:val="auto"/>
                <w:spacing w:val="-10"/>
                <w:sz w:val="24"/>
                <w:szCs w:val="24"/>
                <w:highlight w:val="none"/>
                <w:lang w:val="en-US" w:eastAsia="zh-CN"/>
              </w:rPr>
              <w:t>粉尘系数为0.</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kg/t（卸料），本项目</w:t>
            </w:r>
            <w:r>
              <w:rPr>
                <w:rFonts w:hint="eastAsia" w:ascii="Times New Roman" w:hAnsi="Times New Roman" w:eastAsia="宋体" w:cs="Times New Roman"/>
                <w:bCs/>
                <w:color w:val="auto"/>
                <w:spacing w:val="-10"/>
                <w:sz w:val="24"/>
                <w:szCs w:val="24"/>
                <w:highlight w:val="none"/>
                <w:lang w:val="en-US" w:eastAsia="zh-CN"/>
              </w:rPr>
              <w:t>粮食进场</w:t>
            </w:r>
            <w:r>
              <w:rPr>
                <w:rFonts w:hint="default" w:ascii="Times New Roman" w:hAnsi="Times New Roman" w:eastAsia="宋体" w:cs="Times New Roman"/>
                <w:bCs/>
                <w:color w:val="auto"/>
                <w:spacing w:val="-10"/>
                <w:sz w:val="24"/>
                <w:szCs w:val="24"/>
                <w:highlight w:val="none"/>
                <w:lang w:val="en-US" w:eastAsia="zh-CN"/>
              </w:rPr>
              <w:t>卸玉米量</w:t>
            </w:r>
            <w:r>
              <w:rPr>
                <w:rFonts w:hint="eastAsia" w:ascii="Times New Roman" w:hAnsi="Times New Roman" w:eastAsia="宋体" w:cs="Times New Roman"/>
                <w:bCs/>
                <w:color w:val="auto"/>
                <w:spacing w:val="-10"/>
                <w:sz w:val="24"/>
                <w:szCs w:val="24"/>
                <w:highlight w:val="none"/>
                <w:lang w:val="en-US" w:eastAsia="zh-CN"/>
              </w:rPr>
              <w:t>1</w:t>
            </w:r>
            <w:r>
              <w:rPr>
                <w:rFonts w:hint="eastAsia" w:cs="Times New Roman"/>
                <w:bCs/>
                <w:color w:val="auto"/>
                <w:spacing w:val="-10"/>
                <w:sz w:val="24"/>
                <w:szCs w:val="24"/>
                <w:highlight w:val="none"/>
                <w:lang w:val="en-US" w:eastAsia="zh-CN"/>
              </w:rPr>
              <w:t>0000</w:t>
            </w:r>
            <w:r>
              <w:rPr>
                <w:rFonts w:hint="default" w:ascii="Times New Roman" w:hAnsi="Times New Roman" w:eastAsia="宋体" w:cs="Times New Roman"/>
                <w:bCs/>
                <w:color w:val="auto"/>
                <w:spacing w:val="-10"/>
                <w:sz w:val="24"/>
                <w:szCs w:val="24"/>
                <w:highlight w:val="none"/>
                <w:lang w:val="en-US" w:eastAsia="zh-CN"/>
              </w:rPr>
              <w:t>吨，粉尘产生量为</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6.25</w:t>
            </w:r>
            <w:r>
              <w:rPr>
                <w:rFonts w:hint="default" w:ascii="Times New Roman" w:hAnsi="Times New Roman" w:eastAsia="宋体" w:cs="Times New Roman"/>
                <w:bCs/>
                <w:color w:val="auto"/>
                <w:spacing w:val="-10"/>
                <w:sz w:val="24"/>
                <w:szCs w:val="24"/>
                <w:highlight w:val="none"/>
                <w:lang w:val="en-US" w:eastAsia="zh-CN"/>
              </w:rPr>
              <w:t>kg/h，</w:t>
            </w:r>
            <w:r>
              <w:rPr>
                <w:rFonts w:hint="eastAsia" w:ascii="Times New Roman" w:hAnsi="Times New Roman" w:eastAsia="宋体" w:cs="Times New Roman"/>
                <w:bCs/>
                <w:color w:val="auto"/>
                <w:spacing w:val="-10"/>
                <w:sz w:val="24"/>
                <w:szCs w:val="24"/>
                <w:highlight w:val="none"/>
                <w:lang w:val="en-US" w:eastAsia="zh-CN"/>
              </w:rPr>
              <w:t>粮食出厂装玉米量为</w:t>
            </w:r>
            <w:r>
              <w:rPr>
                <w:rFonts w:hint="eastAsia" w:cs="Times New Roman"/>
                <w:bCs/>
                <w:color w:val="auto"/>
                <w:spacing w:val="-10"/>
                <w:sz w:val="24"/>
                <w:szCs w:val="24"/>
                <w:highlight w:val="none"/>
                <w:lang w:val="en-US" w:eastAsia="zh-CN"/>
              </w:rPr>
              <w:t>8251</w:t>
            </w:r>
            <w:r>
              <w:rPr>
                <w:rFonts w:hint="eastAsia" w:ascii="Times New Roman" w:hAnsi="Times New Roman" w:eastAsia="宋体" w:cs="Times New Roman"/>
                <w:bCs/>
                <w:color w:val="auto"/>
                <w:spacing w:val="-10"/>
                <w:sz w:val="24"/>
                <w:szCs w:val="24"/>
                <w:highlight w:val="none"/>
                <w:lang w:val="en-US" w:eastAsia="zh-CN"/>
              </w:rPr>
              <w:t>吨，</w:t>
            </w:r>
            <w:r>
              <w:rPr>
                <w:rFonts w:hint="default" w:ascii="Times New Roman" w:hAnsi="Times New Roman" w:eastAsia="宋体" w:cs="Times New Roman"/>
                <w:bCs/>
                <w:color w:val="auto"/>
                <w:spacing w:val="-10"/>
                <w:sz w:val="24"/>
                <w:szCs w:val="24"/>
                <w:highlight w:val="none"/>
                <w:lang w:val="en-US" w:eastAsia="zh-CN"/>
              </w:rPr>
              <w:t>根据《逸散性工业粉尘控制技术》中谷物贮仓，卡车</w:t>
            </w:r>
            <w:r>
              <w:rPr>
                <w:rFonts w:hint="eastAsia" w:ascii="Times New Roman" w:hAnsi="Times New Roman" w:eastAsia="宋体" w:cs="Times New Roman"/>
                <w:bCs/>
                <w:color w:val="auto"/>
                <w:spacing w:val="-10"/>
                <w:sz w:val="24"/>
                <w:szCs w:val="24"/>
                <w:highlight w:val="none"/>
                <w:lang w:val="en-US" w:eastAsia="zh-CN"/>
              </w:rPr>
              <w:t>装</w:t>
            </w:r>
            <w:r>
              <w:rPr>
                <w:rFonts w:hint="eastAsia" w:cs="Times New Roman"/>
                <w:bCs/>
                <w:color w:val="auto"/>
                <w:spacing w:val="-10"/>
                <w:sz w:val="24"/>
                <w:szCs w:val="24"/>
                <w:highlight w:val="none"/>
                <w:lang w:val="en-US" w:eastAsia="zh-CN"/>
              </w:rPr>
              <w:t>料</w:t>
            </w:r>
            <w:r>
              <w:rPr>
                <w:rFonts w:hint="default" w:ascii="Times New Roman" w:hAnsi="Times New Roman" w:eastAsia="宋体" w:cs="Times New Roman"/>
                <w:bCs/>
                <w:color w:val="auto"/>
                <w:spacing w:val="-10"/>
                <w:sz w:val="24"/>
                <w:szCs w:val="24"/>
                <w:highlight w:val="none"/>
                <w:lang w:val="en-US" w:eastAsia="zh-CN"/>
              </w:rPr>
              <w:t>粉尘系数为0.</w:t>
            </w:r>
            <w:r>
              <w:rPr>
                <w:rFonts w:hint="eastAsia" w:cs="Times New Roman"/>
                <w:bCs/>
                <w:color w:val="auto"/>
                <w:spacing w:val="-10"/>
                <w:sz w:val="24"/>
                <w:szCs w:val="24"/>
                <w:highlight w:val="none"/>
                <w:lang w:val="en-US" w:eastAsia="zh-CN"/>
              </w:rPr>
              <w:t>15</w:t>
            </w:r>
            <w:r>
              <w:rPr>
                <w:rFonts w:hint="default" w:ascii="Times New Roman" w:hAnsi="Times New Roman" w:eastAsia="宋体" w:cs="Times New Roman"/>
                <w:bCs/>
                <w:color w:val="auto"/>
                <w:spacing w:val="-10"/>
                <w:sz w:val="24"/>
                <w:szCs w:val="24"/>
                <w:highlight w:val="none"/>
                <w:lang w:val="en-US" w:eastAsia="zh-CN"/>
              </w:rPr>
              <w:t>kg/t，</w:t>
            </w:r>
            <w:r>
              <w:rPr>
                <w:rFonts w:hint="eastAsia" w:ascii="Times New Roman" w:hAnsi="Times New Roman" w:eastAsia="宋体" w:cs="Times New Roman"/>
                <w:bCs/>
                <w:color w:val="auto"/>
                <w:spacing w:val="-10"/>
                <w:sz w:val="24"/>
                <w:szCs w:val="24"/>
                <w:highlight w:val="none"/>
                <w:lang w:val="en-US" w:eastAsia="zh-CN"/>
              </w:rPr>
              <w:t>粉尘产生量为1.238t/a，</w:t>
            </w:r>
            <w:r>
              <w:rPr>
                <w:rFonts w:hint="eastAsia" w:cs="Times New Roman"/>
                <w:bCs/>
                <w:color w:val="auto"/>
                <w:spacing w:val="-10"/>
                <w:sz w:val="24"/>
                <w:szCs w:val="24"/>
                <w:highlight w:val="none"/>
                <w:lang w:val="en-US" w:eastAsia="zh-CN"/>
              </w:rPr>
              <w:t>2.579kg/h，</w:t>
            </w:r>
            <w:r>
              <w:rPr>
                <w:rFonts w:hint="default" w:ascii="Times New Roman" w:hAnsi="Times New Roman" w:eastAsia="宋体" w:cs="Times New Roman"/>
                <w:bCs/>
                <w:color w:val="auto"/>
                <w:spacing w:val="-10"/>
                <w:sz w:val="24"/>
                <w:szCs w:val="24"/>
                <w:highlight w:val="none"/>
                <w:lang w:val="en-US" w:eastAsia="zh-CN"/>
              </w:rPr>
              <w:t>运输车辆装卸区设置遮挡设施，</w:t>
            </w:r>
            <w:r>
              <w:rPr>
                <w:rFonts w:hint="eastAsia" w:ascii="Times New Roman" w:hAnsi="Times New Roman" w:eastAsia="宋体" w:cs="Times New Roman"/>
                <w:bCs/>
                <w:color w:val="auto"/>
                <w:spacing w:val="-10"/>
                <w:sz w:val="24"/>
                <w:szCs w:val="24"/>
                <w:highlight w:val="none"/>
                <w:lang w:val="en-US" w:eastAsia="zh-CN"/>
              </w:rPr>
              <w:t>除尘效率取90%，</w:t>
            </w:r>
            <w:r>
              <w:rPr>
                <w:rFonts w:hint="default" w:ascii="Times New Roman" w:hAnsi="Times New Roman" w:eastAsia="宋体" w:cs="Times New Roman"/>
                <w:bCs/>
                <w:color w:val="auto"/>
                <w:spacing w:val="-10"/>
                <w:sz w:val="24"/>
                <w:szCs w:val="24"/>
                <w:highlight w:val="none"/>
                <w:lang w:val="en-US" w:eastAsia="zh-CN"/>
              </w:rPr>
              <w:t>则</w:t>
            </w:r>
            <w:r>
              <w:rPr>
                <w:rFonts w:hint="eastAsia" w:cs="Times New Roman"/>
                <w:bCs/>
                <w:color w:val="auto"/>
                <w:spacing w:val="-10"/>
                <w:sz w:val="24"/>
                <w:szCs w:val="24"/>
                <w:highlight w:val="none"/>
                <w:lang w:val="en-US" w:eastAsia="zh-CN"/>
              </w:rPr>
              <w:t>卸玉米</w:t>
            </w:r>
            <w:r>
              <w:rPr>
                <w:rFonts w:hint="default" w:ascii="Times New Roman" w:hAnsi="Times New Roman" w:eastAsia="宋体" w:cs="Times New Roman"/>
                <w:bCs/>
                <w:color w:val="auto"/>
                <w:spacing w:val="-10"/>
                <w:sz w:val="24"/>
                <w:szCs w:val="24"/>
                <w:highlight w:val="none"/>
                <w:lang w:val="en-US" w:eastAsia="zh-CN"/>
              </w:rPr>
              <w:t>过程无组织排放粉尘为</w:t>
            </w:r>
            <w:r>
              <w:rPr>
                <w:rFonts w:hint="eastAsia" w:cs="Times New Roman"/>
                <w:bCs/>
                <w:color w:val="auto"/>
                <w:spacing w:val="-10"/>
                <w:sz w:val="24"/>
                <w:szCs w:val="24"/>
                <w:highlight w:val="none"/>
                <w:lang w:val="en-US" w:eastAsia="zh-CN"/>
              </w:rPr>
              <w:t>0.3t/a</w:t>
            </w:r>
            <w:r>
              <w:rPr>
                <w:rFonts w:hint="default" w:ascii="Times New Roman" w:hAnsi="Times New Roman" w:eastAsia="宋体" w:cs="Times New Roman"/>
                <w:bCs/>
                <w:color w:val="auto"/>
                <w:spacing w:val="-10"/>
                <w:sz w:val="24"/>
                <w:szCs w:val="24"/>
                <w:highlight w:val="none"/>
                <w:lang w:val="en-US" w:eastAsia="zh-CN"/>
              </w:rPr>
              <w:t>，排放速率为</w:t>
            </w:r>
            <w:r>
              <w:rPr>
                <w:rFonts w:hint="eastAsia" w:cs="Times New Roman"/>
                <w:bCs/>
                <w:color w:val="auto"/>
                <w:spacing w:val="-10"/>
                <w:sz w:val="24"/>
                <w:szCs w:val="24"/>
                <w:highlight w:val="none"/>
                <w:lang w:val="en-US" w:eastAsia="zh-CN"/>
              </w:rPr>
              <w:t>0.625</w:t>
            </w:r>
            <w:r>
              <w:rPr>
                <w:rFonts w:hint="default" w:ascii="Times New Roman" w:hAnsi="Times New Roman" w:eastAsia="宋体" w:cs="Times New Roman"/>
                <w:bCs/>
                <w:color w:val="auto"/>
                <w:spacing w:val="-10"/>
                <w:sz w:val="24"/>
                <w:szCs w:val="24"/>
                <w:highlight w:val="none"/>
                <w:lang w:val="en-US" w:eastAsia="zh-CN"/>
              </w:rPr>
              <w:t>kg/h。</w:t>
            </w:r>
            <w:r>
              <w:rPr>
                <w:rFonts w:hint="eastAsia" w:cs="Times New Roman"/>
                <w:bCs/>
                <w:color w:val="auto"/>
                <w:spacing w:val="-10"/>
                <w:sz w:val="24"/>
                <w:szCs w:val="24"/>
                <w:highlight w:val="none"/>
                <w:lang w:val="en-US" w:eastAsia="zh-CN"/>
              </w:rPr>
              <w:t>装玉米过程中无组织排放粉尘量为0.124t/a，0.258kg/h。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（2）筛选粉尘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本项目玉米进入粮仓之前进行筛分，筛分产生的粉尘根据《逸散性工业粉尘控制技术》中谷物贮仓，过筛工序逸散尘排放因子取0.1kg/t。筛分量为</w:t>
            </w:r>
            <w:r>
              <w:rPr>
                <w:rFonts w:hint="eastAsia" w:cs="Times New Roman"/>
                <w:bCs/>
                <w:color w:val="auto"/>
                <w:spacing w:val="-10"/>
                <w:sz w:val="24"/>
                <w:szCs w:val="24"/>
                <w:highlight w:val="none"/>
                <w:lang w:val="en-US" w:eastAsia="zh-CN"/>
              </w:rPr>
              <w:t>9997</w:t>
            </w:r>
            <w:r>
              <w:rPr>
                <w:rFonts w:hint="default" w:ascii="Times New Roman" w:hAnsi="Times New Roman" w:eastAsia="宋体" w:cs="Times New Roman"/>
                <w:bCs/>
                <w:color w:val="auto"/>
                <w:spacing w:val="-10"/>
                <w:sz w:val="24"/>
                <w:szCs w:val="24"/>
                <w:highlight w:val="none"/>
                <w:lang w:val="en-US" w:eastAsia="zh-CN"/>
              </w:rPr>
              <w:t>t，产生粉尘总量为</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t/a，产生速率为</w:t>
            </w:r>
            <w:r>
              <w:rPr>
                <w:rFonts w:hint="eastAsia" w:cs="Times New Roman"/>
                <w:bCs/>
                <w:color w:val="auto"/>
                <w:spacing w:val="-10"/>
                <w:sz w:val="24"/>
                <w:szCs w:val="24"/>
                <w:highlight w:val="none"/>
                <w:lang w:val="en-US" w:eastAsia="zh-CN"/>
              </w:rPr>
              <w:t>2.083</w:t>
            </w:r>
            <w:r>
              <w:rPr>
                <w:rFonts w:hint="default" w:ascii="Times New Roman" w:hAnsi="Times New Roman" w:eastAsia="宋体" w:cs="Times New Roman"/>
                <w:bCs/>
                <w:color w:val="auto"/>
                <w:spacing w:val="-10"/>
                <w:sz w:val="24"/>
                <w:szCs w:val="24"/>
                <w:highlight w:val="none"/>
                <w:lang w:val="en-US" w:eastAsia="zh-CN"/>
              </w:rPr>
              <w:t>kg/h，筛分设备密闭，处理效率为9</w:t>
            </w:r>
            <w:r>
              <w:rPr>
                <w:rFonts w:hint="eastAsia" w:ascii="Times New Roman" w:hAnsi="Times New Roman" w:eastAsia="宋体" w:cs="Times New Roman"/>
                <w:bCs/>
                <w:color w:val="auto"/>
                <w:spacing w:val="-10"/>
                <w:sz w:val="24"/>
                <w:szCs w:val="24"/>
                <w:highlight w:val="none"/>
                <w:lang w:val="en-US" w:eastAsia="zh-CN"/>
              </w:rPr>
              <w:t>0</w:t>
            </w:r>
            <w:r>
              <w:rPr>
                <w:rFonts w:hint="default" w:ascii="Times New Roman" w:hAnsi="Times New Roman" w:eastAsia="宋体" w:cs="Times New Roman"/>
                <w:bCs/>
                <w:color w:val="auto"/>
                <w:spacing w:val="-10"/>
                <w:sz w:val="24"/>
                <w:szCs w:val="24"/>
                <w:highlight w:val="none"/>
                <w:lang w:val="en-US" w:eastAsia="zh-CN"/>
              </w:rPr>
              <w:t>%，则粉尘排放量为</w:t>
            </w:r>
            <w:r>
              <w:rPr>
                <w:rFonts w:hint="eastAsia" w:cs="Times New Roman"/>
                <w:bCs/>
                <w:color w:val="auto"/>
                <w:spacing w:val="-10"/>
                <w:sz w:val="24"/>
                <w:szCs w:val="24"/>
                <w:highlight w:val="none"/>
                <w:lang w:val="en-US" w:eastAsia="zh-CN"/>
              </w:rPr>
              <w:t>0.1</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（3）烘干粉尘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本项目年使用烘干塔</w:t>
            </w:r>
            <w:r>
              <w:rPr>
                <w:rFonts w:hint="eastAsia" w:cs="Times New Roman"/>
                <w:bCs/>
                <w:color w:val="auto"/>
                <w:spacing w:val="-10"/>
                <w:sz w:val="24"/>
                <w:szCs w:val="24"/>
                <w:highlight w:val="none"/>
                <w:lang w:val="en-US" w:eastAsia="zh-CN"/>
              </w:rPr>
              <w:t>480</w:t>
            </w:r>
            <w:r>
              <w:rPr>
                <w:rFonts w:hint="default" w:ascii="Times New Roman" w:hAnsi="Times New Roman" w:eastAsia="宋体" w:cs="Times New Roman"/>
                <w:bCs/>
                <w:color w:val="auto"/>
                <w:spacing w:val="-10"/>
                <w:sz w:val="24"/>
                <w:szCs w:val="24"/>
                <w:highlight w:val="none"/>
                <w:lang w:val="en-US" w:eastAsia="zh-CN"/>
              </w:rPr>
              <w:t>h/a。粮食经烘干塔烘干时产生粉尘，根据《逸散性工业粉尘控制技术（中国环境科学出版社）》，过筛工序逸散尘排放因子取0.1kg/t，本项目进入烘干塔玉米量为</w:t>
            </w:r>
            <w:r>
              <w:rPr>
                <w:rFonts w:hint="eastAsia" w:cs="Times New Roman"/>
                <w:bCs/>
                <w:color w:val="auto"/>
                <w:spacing w:val="-10"/>
                <w:sz w:val="24"/>
                <w:szCs w:val="24"/>
                <w:highlight w:val="none"/>
                <w:lang w:val="en-US" w:eastAsia="zh-CN"/>
              </w:rPr>
              <w:t>9996</w:t>
            </w:r>
            <w:r>
              <w:rPr>
                <w:rFonts w:hint="default" w:ascii="Times New Roman" w:hAnsi="Times New Roman" w:eastAsia="宋体" w:cs="Times New Roman"/>
                <w:bCs/>
                <w:color w:val="auto"/>
                <w:spacing w:val="-10"/>
                <w:sz w:val="24"/>
                <w:szCs w:val="24"/>
                <w:highlight w:val="none"/>
                <w:lang w:val="en-US" w:eastAsia="zh-CN"/>
              </w:rPr>
              <w:t>t/a，粉尘产生量为</w:t>
            </w:r>
            <w:r>
              <w:rPr>
                <w:rFonts w:hint="eastAsia"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2.083</w:t>
            </w:r>
            <w:r>
              <w:rPr>
                <w:rFonts w:hint="default" w:ascii="Times New Roman" w:hAnsi="Times New Roman" w:eastAsia="宋体" w:cs="Times New Roman"/>
                <w:bCs/>
                <w:color w:val="auto"/>
                <w:spacing w:val="-10"/>
                <w:sz w:val="24"/>
                <w:szCs w:val="24"/>
                <w:highlight w:val="none"/>
                <w:lang w:val="en-US" w:eastAsia="zh-CN"/>
              </w:rPr>
              <w:t>kg/h，烘干塔内部自带重力沉降室，四周设置防尘挡板，粉尘受挡板格挡后受重力作用回落到烘干塔底部收尘设施中，少量粉尘从塔顶排放。参照《扬尘源颗粒物排放清单编制技术指南》中围挡遮围对TSP的控制效率，本项目抑尘效率按90%计，则项目烘干塔无组织粉尘排放量为0.</w:t>
            </w:r>
            <w:r>
              <w:rPr>
                <w:rFonts w:hint="eastAsia" w:ascii="Times New Roman" w:hAnsi="Times New Roman" w:eastAsia="宋体"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4</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热风炉废气有组织排放源强</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本项目烘干塔热源为1台</w:t>
            </w:r>
            <w:r>
              <w:rPr>
                <w:rFonts w:hint="eastAsia" w:cs="Times New Roman"/>
                <w:bCs/>
                <w:color w:val="auto"/>
                <w:spacing w:val="-10"/>
                <w:sz w:val="24"/>
                <w:szCs w:val="24"/>
                <w:lang w:val="en-US" w:eastAsia="zh-CN"/>
              </w:rPr>
              <w:t>6</w:t>
            </w:r>
            <w:r>
              <w:rPr>
                <w:rFonts w:hint="default" w:ascii="Times New Roman" w:hAnsi="Times New Roman" w:eastAsia="宋体" w:cs="Times New Roman"/>
                <w:color w:val="auto"/>
                <w:sz w:val="24"/>
                <w:szCs w:val="24"/>
                <w:highlight w:val="none"/>
                <w:lang w:val="en-US" w:eastAsia="zh-CN"/>
              </w:rPr>
              <w:t>t/h</w:t>
            </w:r>
            <w:r>
              <w:rPr>
                <w:rFonts w:hint="default" w:ascii="Times New Roman" w:hAnsi="Times New Roman" w:eastAsia="宋体" w:cs="Times New Roman"/>
                <w:bCs/>
                <w:color w:val="auto"/>
                <w:spacing w:val="-10"/>
                <w:sz w:val="24"/>
                <w:szCs w:val="24"/>
                <w:lang w:val="en-US" w:eastAsia="zh-CN"/>
              </w:rPr>
              <w:t>生物质热风炉，本项目年消耗生物质压块燃料</w:t>
            </w:r>
            <w:r>
              <w:rPr>
                <w:rFonts w:hint="eastAsia" w:cs="Times New Roman"/>
                <w:color w:val="auto"/>
                <w:kern w:val="0"/>
                <w:sz w:val="24"/>
                <w:szCs w:val="24"/>
                <w:lang w:val="en-US" w:eastAsia="zh-CN"/>
              </w:rPr>
              <w:t>702</w:t>
            </w:r>
            <w:r>
              <w:rPr>
                <w:rFonts w:hint="default" w:ascii="Times New Roman" w:hAnsi="Times New Roman" w:eastAsia="宋体" w:cs="Times New Roman"/>
                <w:bCs/>
                <w:color w:val="auto"/>
                <w:spacing w:val="-10"/>
                <w:sz w:val="24"/>
                <w:szCs w:val="24"/>
                <w:lang w:val="en-US" w:eastAsia="zh-CN"/>
              </w:rPr>
              <w:t>t，热风炉年运行时间为</w:t>
            </w:r>
            <w:r>
              <w:rPr>
                <w:rFonts w:hint="eastAsia" w:cs="Times New Roman"/>
                <w:bCs/>
                <w:color w:val="auto"/>
                <w:spacing w:val="-10"/>
                <w:sz w:val="24"/>
                <w:szCs w:val="24"/>
                <w:lang w:val="en-US" w:eastAsia="zh-CN"/>
              </w:rPr>
              <w:t>480</w:t>
            </w:r>
            <w:r>
              <w:rPr>
                <w:rFonts w:hint="default" w:ascii="Times New Roman" w:hAnsi="Times New Roman" w:eastAsia="宋体" w:cs="Times New Roman"/>
                <w:bCs/>
                <w:color w:val="auto"/>
                <w:spacing w:val="-10"/>
                <w:sz w:val="24"/>
                <w:szCs w:val="24"/>
                <w:lang w:val="en-US" w:eastAsia="zh-CN"/>
              </w:rPr>
              <w:t>h。热风炉烟气经1台除尘效率为99</w:t>
            </w:r>
            <w:r>
              <w:rPr>
                <w:rFonts w:hint="eastAsia" w:cs="Times New Roman"/>
                <w:bCs/>
                <w:color w:val="auto"/>
                <w:spacing w:val="-10"/>
                <w:sz w:val="24"/>
                <w:szCs w:val="24"/>
                <w:lang w:val="en-US" w:eastAsia="zh-CN"/>
              </w:rPr>
              <w:t>.7</w:t>
            </w:r>
            <w:r>
              <w:rPr>
                <w:rFonts w:hint="default" w:ascii="Times New Roman" w:hAnsi="Times New Roman" w:eastAsia="宋体" w:cs="Times New Roman"/>
                <w:bCs/>
                <w:color w:val="auto"/>
                <w:spacing w:val="-10"/>
                <w:sz w:val="24"/>
                <w:szCs w:val="24"/>
                <w:lang w:val="en-US" w:eastAsia="zh-CN"/>
              </w:rPr>
              <w:t>%的布袋除尘器处理后，由15m高烟囱排放</w:t>
            </w:r>
            <w:r>
              <w:rPr>
                <w:rFonts w:hint="default" w:ascii="Times New Roman" w:hAnsi="Times New Roman" w:eastAsia="宋体" w:cs="Times New Roman"/>
                <w:bCs/>
                <w:color w:val="auto"/>
                <w:spacing w:val="-10"/>
                <w:sz w:val="24"/>
                <w:szCs w:val="24"/>
                <w:highlight w:val="none"/>
                <w:lang w:val="en-US" w:eastAsia="zh-CN"/>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rFonts w:hint="default" w:ascii="Times New Roman" w:hAnsi="Times New Roman" w:eastAsia="宋体" w:cs="Times New Roman"/>
                <w:color w:val="auto"/>
                <w:sz w:val="24"/>
                <w:highlight w:val="none"/>
                <w:lang w:eastAsia="zh-CN"/>
              </w:rPr>
              <w:t>热风炉</w:t>
            </w:r>
            <w:r>
              <w:rPr>
                <w:rFonts w:hint="default" w:ascii="Times New Roman" w:hAnsi="Times New Roman" w:eastAsia="宋体" w:cs="Times New Roman"/>
                <w:color w:val="auto"/>
                <w:sz w:val="24"/>
                <w:highlight w:val="none"/>
              </w:rPr>
              <w:t>燃烧产生的大气污染物有SO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烟尘</w:t>
            </w:r>
            <w:r>
              <w:rPr>
                <w:rFonts w:hint="default" w:ascii="Times New Roman" w:hAnsi="Times New Roman" w:eastAsia="宋体" w:cs="Times New Roman"/>
                <w:color w:val="auto"/>
                <w:sz w:val="24"/>
                <w:highlight w:val="none"/>
              </w:rPr>
              <w:t>及NO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烟气量、</w:t>
            </w:r>
            <w:r>
              <w:rPr>
                <w:rFonts w:hint="eastAsia" w:ascii="Times New Roman" w:hAnsi="Times New Roman" w:eastAsia="宋体" w:cs="Times New Roman"/>
                <w:color w:val="auto"/>
                <w:sz w:val="24"/>
                <w:highlight w:val="none"/>
                <w:lang w:val="en-US" w:eastAsia="zh-CN"/>
              </w:rPr>
              <w:t>烟尘、</w:t>
            </w:r>
            <w:r>
              <w:rPr>
                <w:rFonts w:hint="eastAsia" w:ascii="Times New Roman" w:hAnsi="Times New Roman" w:eastAsia="宋体" w:cs="Times New Roman"/>
                <w:color w:val="auto"/>
                <w:sz w:val="24"/>
                <w:highlight w:val="none"/>
                <w:lang w:eastAsia="zh-CN"/>
              </w:rPr>
              <w:t>氮氧化物</w:t>
            </w:r>
            <w:r>
              <w:rPr>
                <w:rFonts w:hint="eastAsia" w:ascii="Times New Roman" w:hAnsi="Times New Roman" w:eastAsia="宋体" w:cs="Times New Roman"/>
                <w:color w:val="auto"/>
                <w:sz w:val="24"/>
                <w:highlight w:val="none"/>
              </w:rPr>
              <w:t>源强、二氧化硫源强</w:t>
            </w:r>
            <w:r>
              <w:rPr>
                <w:rFonts w:hint="default" w:ascii="Times New Roman" w:hAnsi="Times New Roman" w:eastAsia="宋体" w:cs="Times New Roman"/>
                <w:color w:val="auto"/>
                <w:sz w:val="24"/>
                <w:highlight w:val="none"/>
              </w:rPr>
              <w:t>根据《污染源源强核算技术指南 锅炉》（HJ888-2018）</w:t>
            </w:r>
            <w:r>
              <w:rPr>
                <w:rFonts w:hint="eastAsia" w:ascii="Times New Roman" w:hAnsi="Times New Roman" w:eastAsia="宋体" w:cs="Times New Roman"/>
                <w:color w:val="auto"/>
                <w:sz w:val="24"/>
                <w:highlight w:val="none"/>
              </w:rPr>
              <w:t>物料衡算法计算源强。</w:t>
            </w:r>
            <w:bookmarkStart w:id="20" w:name="_Hlk65495894"/>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a）烟气量按下式计算</w:t>
            </w:r>
          </w:p>
          <w:p>
            <w:pPr>
              <w:pStyle w:val="10"/>
              <w:snapToGrid/>
              <w:spacing w:before="0" w:after="0" w:line="360" w:lineRule="auto"/>
              <w:ind w:right="0" w:firstLine="480" w:firstLineChars="200"/>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参照《污染源源强核算技术指南 锅炉》（HJ991-2018）附录C中C.5，没有元素分析时，干烟气排放量的经验公式计算参照HJ953，根据附件4，本项目的干烟气量</w:t>
            </w:r>
            <w:r>
              <w:rPr>
                <w:rFonts w:hint="eastAsia" w:cs="Times New Roman"/>
                <w:color w:val="auto"/>
                <w:kern w:val="0"/>
                <w:sz w:val="24"/>
                <w:szCs w:val="20"/>
                <w:lang w:val="en-US" w:eastAsia="zh-CN" w:bidi="ar-SA"/>
              </w:rPr>
              <w:t>计算如下</w:t>
            </w:r>
          </w:p>
          <w:p>
            <w:pPr>
              <w:spacing w:line="360" w:lineRule="auto"/>
              <w:ind w:firstLine="480" w:firstLineChars="200"/>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Vdaf=Vad×100/(100-Mad-Aad)=8</w:t>
            </w:r>
            <w:r>
              <w:rPr>
                <w:rFonts w:hint="eastAsia" w:cs="Times New Roman"/>
                <w:color w:val="auto"/>
                <w:kern w:val="0"/>
                <w:sz w:val="24"/>
                <w:szCs w:val="20"/>
                <w:lang w:val="en-US" w:eastAsia="zh-CN" w:bidi="ar-SA"/>
              </w:rPr>
              <w:t>3.31</w:t>
            </w:r>
            <w:r>
              <w:rPr>
                <w:rFonts w:hint="eastAsia" w:ascii="Times New Roman" w:hAnsi="Times New Roman" w:eastAsia="宋体" w:cs="Times New Roman"/>
                <w:color w:val="auto"/>
                <w:kern w:val="0"/>
                <w:sz w:val="24"/>
                <w:szCs w:val="20"/>
                <w:lang w:val="en-US" w:eastAsia="zh-CN" w:bidi="ar-SA"/>
              </w:rPr>
              <w:t>%</w:t>
            </w:r>
            <w:r>
              <w:rPr>
                <w:rFonts w:hint="eastAsia" w:cs="Times New Roman"/>
                <w:color w:val="auto"/>
                <w:kern w:val="0"/>
                <w:sz w:val="24"/>
                <w:szCs w:val="20"/>
                <w:lang w:val="en-US" w:eastAsia="zh-CN" w:bidi="ar-SA"/>
              </w:rPr>
              <w:t>，Vdaf≥15。</w:t>
            </w:r>
          </w:p>
          <w:p>
            <w:pPr>
              <w:pStyle w:val="10"/>
              <w:snapToGrid/>
              <w:spacing w:before="0" w:after="0" w:line="360" w:lineRule="auto"/>
              <w:ind w:right="0" w:firstLine="480" w:firstLineChars="200"/>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Vgy=0.393Qnet,ar+0.876=0.393×16.77+0.876=7.46661Nm</w:t>
            </w:r>
            <w:r>
              <w:rPr>
                <w:rFonts w:hint="eastAsia" w:ascii="Times New Roman" w:hAnsi="Times New Roman" w:eastAsia="宋体" w:cs="Times New Roman"/>
                <w:color w:val="auto"/>
                <w:kern w:val="0"/>
                <w:sz w:val="24"/>
                <w:szCs w:val="20"/>
                <w:vertAlign w:val="superscript"/>
                <w:lang w:val="en-US" w:eastAsia="zh-CN" w:bidi="ar-SA"/>
              </w:rPr>
              <w:t>3</w:t>
            </w:r>
            <w:r>
              <w:rPr>
                <w:rFonts w:hint="eastAsia" w:ascii="Times New Roman" w:hAnsi="Times New Roman" w:eastAsia="宋体" w:cs="Times New Roman"/>
                <w:color w:val="auto"/>
                <w:kern w:val="0"/>
                <w:sz w:val="24"/>
                <w:szCs w:val="20"/>
                <w:lang w:val="en-US" w:eastAsia="zh-CN" w:bidi="ar-SA"/>
              </w:rPr>
              <w:t>/kg</w:t>
            </w:r>
          </w:p>
          <w:p>
            <w:pPr>
              <w:snapToGrid w:val="0"/>
              <w:spacing w:line="360" w:lineRule="auto"/>
              <w:ind w:firstLine="480" w:firstLineChars="200"/>
              <w:rPr>
                <w:rFonts w:hint="eastAsia" w:eastAsia="宋体"/>
                <w:color w:val="auto"/>
                <w:sz w:val="24"/>
                <w:highlight w:val="none"/>
                <w:lang w:val="en-US" w:eastAsia="zh-CN"/>
              </w:rPr>
            </w:pPr>
            <w:r>
              <w:rPr>
                <w:rFonts w:hint="eastAsia" w:ascii="Times New Roman" w:hAnsi="Times New Roman" w:eastAsia="宋体" w:cs="Times New Roman"/>
                <w:color w:val="auto"/>
                <w:kern w:val="0"/>
                <w:sz w:val="24"/>
                <w:szCs w:val="20"/>
                <w:highlight w:val="none"/>
                <w:lang w:val="en-US" w:eastAsia="zh-CN" w:bidi="ar-SA"/>
              </w:rPr>
              <w:t>烟气量：7.46661Nm</w:t>
            </w:r>
            <w:r>
              <w:rPr>
                <w:rFonts w:hint="eastAsia" w:ascii="Times New Roman" w:hAnsi="Times New Roman" w:eastAsia="宋体" w:cs="Times New Roman"/>
                <w:color w:val="auto"/>
                <w:kern w:val="0"/>
                <w:sz w:val="24"/>
                <w:szCs w:val="20"/>
                <w:highlight w:val="none"/>
                <w:vertAlign w:val="superscript"/>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/kg×</w:t>
            </w:r>
            <w:r>
              <w:rPr>
                <w:rFonts w:hint="eastAsia" w:cs="Times New Roman"/>
                <w:color w:val="auto"/>
                <w:kern w:val="0"/>
                <w:sz w:val="24"/>
                <w:szCs w:val="20"/>
                <w:highlight w:val="none"/>
                <w:lang w:val="en-US" w:eastAsia="zh-CN" w:bidi="ar-SA"/>
              </w:rPr>
              <w:t>702</w:t>
            </w:r>
            <w:r>
              <w:rPr>
                <w:rFonts w:hint="eastAsia" w:ascii="Times New Roman" w:hAnsi="Times New Roman" w:eastAsia="宋体" w:cs="Times New Roman"/>
                <w:color w:val="auto"/>
                <w:kern w:val="0"/>
                <w:sz w:val="24"/>
                <w:szCs w:val="20"/>
                <w:highlight w:val="none"/>
                <w:lang w:val="en-US" w:eastAsia="zh-CN" w:bidi="ar-SA"/>
              </w:rPr>
              <w:t>t/a×1000=</w:t>
            </w:r>
            <w:r>
              <w:rPr>
                <w:rFonts w:hint="eastAsia"/>
                <w:color w:val="auto"/>
                <w:sz w:val="24"/>
                <w:highlight w:val="none"/>
                <w:lang w:val="en-US" w:eastAsia="zh-CN"/>
              </w:rPr>
              <w:t>5241560.22</w:t>
            </w:r>
            <w:r>
              <w:rPr>
                <w:rFonts w:hint="eastAsia" w:ascii="Times New Roman" w:hAnsi="Times New Roman" w:eastAsia="宋体" w:cs="Times New Roman"/>
                <w:color w:val="auto"/>
                <w:kern w:val="0"/>
                <w:sz w:val="24"/>
                <w:szCs w:val="20"/>
                <w:highlight w:val="none"/>
                <w:lang w:val="en-US" w:eastAsia="zh-CN" w:bidi="ar-SA"/>
              </w:rPr>
              <w:t>Nm</w:t>
            </w:r>
            <w:r>
              <w:rPr>
                <w:rFonts w:hint="eastAsia" w:ascii="Times New Roman" w:hAnsi="Times New Roman" w:eastAsia="宋体" w:cs="Times New Roman"/>
                <w:color w:val="auto"/>
                <w:kern w:val="0"/>
                <w:sz w:val="24"/>
                <w:szCs w:val="20"/>
                <w:highlight w:val="none"/>
                <w:vertAlign w:val="superscript"/>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/a，</w:t>
            </w:r>
            <w:r>
              <w:rPr>
                <w:rFonts w:hint="eastAsia" w:cs="Times New Roman"/>
                <w:color w:val="auto"/>
                <w:kern w:val="0"/>
                <w:sz w:val="24"/>
                <w:szCs w:val="20"/>
                <w:highlight w:val="none"/>
                <w:lang w:val="en-US" w:eastAsia="zh-CN" w:bidi="ar-SA"/>
              </w:rPr>
              <w:t>10920</w:t>
            </w:r>
            <w:r>
              <w:rPr>
                <w:rFonts w:hint="eastAsia" w:ascii="Times New Roman" w:hAnsi="Times New Roman" w:eastAsia="宋体" w:cs="Times New Roman"/>
                <w:color w:val="auto"/>
                <w:kern w:val="0"/>
                <w:sz w:val="24"/>
                <w:szCs w:val="20"/>
                <w:highlight w:val="none"/>
                <w:lang w:val="en-US" w:eastAsia="zh-CN" w:bidi="ar-SA"/>
              </w:rPr>
              <w:t>Nm</w:t>
            </w:r>
            <w:r>
              <w:rPr>
                <w:rFonts w:hint="eastAsia" w:ascii="Times New Roman" w:hAnsi="Times New Roman" w:eastAsia="宋体" w:cs="Times New Roman"/>
                <w:color w:val="auto"/>
                <w:kern w:val="0"/>
                <w:sz w:val="24"/>
                <w:szCs w:val="20"/>
                <w:highlight w:val="none"/>
                <w:vertAlign w:val="superscript"/>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/h</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 xml:space="preserve">b）烟尘排放量按下式计算  </w:t>
            </w:r>
          </w:p>
          <w:p>
            <w:pPr>
              <w:pStyle w:val="10"/>
              <w:shd w:val="clear" w:color="auto" w:fill="auto"/>
              <w:rPr>
                <w:color w:val="auto"/>
                <w:highlight w:val="none"/>
              </w:rPr>
            </w:pPr>
            <w:r>
              <w:rPr>
                <w:color w:val="auto"/>
                <w:sz w:val="24"/>
                <w:highlight w:val="none"/>
              </w:rPr>
              <w:drawing>
                <wp:anchor distT="0" distB="0" distL="114300" distR="114300" simplePos="0" relativeHeight="251664384" behindDoc="1" locked="0" layoutInCell="1" allowOverlap="1">
                  <wp:simplePos x="0" y="0"/>
                  <wp:positionH relativeFrom="column">
                    <wp:posOffset>387350</wp:posOffset>
                  </wp:positionH>
                  <wp:positionV relativeFrom="paragraph">
                    <wp:posOffset>-27940</wp:posOffset>
                  </wp:positionV>
                  <wp:extent cx="2130425" cy="823595"/>
                  <wp:effectExtent l="0" t="0" r="3175" b="14605"/>
                  <wp:wrapNone/>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20"/>
                          <a:srcRect t="-6538" b="-6538"/>
                          <a:stretch>
                            <a:fillRect/>
                          </a:stretch>
                        </pic:blipFill>
                        <pic:spPr>
                          <a:xfrm>
                            <a:off x="0" y="0"/>
                            <a:ext cx="2130425" cy="823595"/>
                          </a:xfrm>
                          <a:prstGeom prst="rect">
                            <a:avLst/>
                          </a:prstGeom>
                          <a:noFill/>
                          <a:ln>
                            <a:noFill/>
                          </a:ln>
                        </pic:spPr>
                      </pic:pic>
                    </a:graphicData>
                  </a:graphic>
                </wp:anchor>
              </w:drawing>
            </w:r>
          </w:p>
          <w:p>
            <w:pPr>
              <w:pStyle w:val="93"/>
              <w:shd w:val="clear" w:color="auto" w:fill="auto"/>
              <w:rPr>
                <w:color w:val="auto"/>
                <w:highlight w:val="none"/>
              </w:rPr>
            </w:pPr>
          </w:p>
          <w:p>
            <w:pPr>
              <w:pStyle w:val="8"/>
              <w:shd w:val="clear" w:color="auto" w:fill="auto"/>
              <w:rPr>
                <w:color w:val="auto"/>
                <w:highlight w:val="none"/>
              </w:rPr>
            </w:pPr>
          </w:p>
          <w:bookmarkEnd w:id="20"/>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adjustRightInd w:val="0"/>
              <w:snapToGrid w:val="0"/>
              <w:spacing w:line="360" w:lineRule="auto"/>
              <w:ind w:firstLine="480" w:firstLineChars="200"/>
              <w:rPr>
                <w:iCs/>
                <w:color w:val="auto"/>
                <w:sz w:val="24"/>
              </w:rPr>
            </w:pPr>
            <w:bookmarkStart w:id="21" w:name="_Hlk65495966"/>
            <w:r>
              <w:rPr>
                <w:i/>
                <w:color w:val="auto"/>
                <w:sz w:val="24"/>
              </w:rPr>
              <w:t>E</w:t>
            </w:r>
            <w:r>
              <w:rPr>
                <w:i/>
                <w:color w:val="auto"/>
                <w:sz w:val="24"/>
                <w:vertAlign w:val="subscript"/>
              </w:rPr>
              <w:t>A</w:t>
            </w:r>
            <w:r>
              <w:rPr>
                <w:iCs/>
                <w:color w:val="auto"/>
                <w:sz w:val="24"/>
              </w:rPr>
              <w:t>——核算时段内颗粒物（烟尘）排放量，t；</w:t>
            </w:r>
          </w:p>
          <w:p>
            <w:pPr>
              <w:adjustRightInd w:val="0"/>
              <w:snapToGrid w:val="0"/>
              <w:spacing w:line="360" w:lineRule="auto"/>
              <w:ind w:firstLine="480" w:firstLineChars="200"/>
              <w:rPr>
                <w:rFonts w:hint="eastAsia" w:eastAsia="宋体"/>
                <w:iCs/>
                <w:color w:val="auto"/>
                <w:sz w:val="24"/>
                <w:lang w:val="en-US" w:eastAsia="zh-CN"/>
              </w:rPr>
            </w:pPr>
            <w:r>
              <w:rPr>
                <w:i/>
                <w:color w:val="auto"/>
                <w:sz w:val="24"/>
              </w:rPr>
              <w:t>R</w:t>
            </w:r>
            <w:r>
              <w:rPr>
                <w:iCs/>
                <w:color w:val="auto"/>
                <w:sz w:val="24"/>
              </w:rPr>
              <w:t>——核算时段内燃料耗量，</w:t>
            </w:r>
            <w:r>
              <w:rPr>
                <w:rFonts w:hint="eastAsia"/>
                <w:iCs/>
                <w:color w:val="auto"/>
                <w:sz w:val="24"/>
                <w:lang w:val="en-US" w:eastAsia="zh-CN"/>
              </w:rPr>
              <w:t>702</w:t>
            </w:r>
            <w:r>
              <w:rPr>
                <w:iCs/>
                <w:color w:val="auto"/>
                <w:sz w:val="24"/>
              </w:rPr>
              <w:t>t；</w:t>
            </w:r>
          </w:p>
          <w:p>
            <w:pPr>
              <w:adjustRightInd w:val="0"/>
              <w:snapToGrid w:val="0"/>
              <w:spacing w:line="360" w:lineRule="auto"/>
              <w:ind w:firstLine="480" w:firstLineChars="200"/>
              <w:rPr>
                <w:iCs/>
                <w:color w:val="auto"/>
                <w:sz w:val="24"/>
              </w:rPr>
            </w:pPr>
            <w:r>
              <w:rPr>
                <w:rFonts w:hint="eastAsia" w:ascii="Times New Roman" w:hAnsi="Times New Roman" w:eastAsia="宋体" w:cs="Times New Roman"/>
                <w:color w:val="auto"/>
                <w:kern w:val="0"/>
                <w:sz w:val="24"/>
                <w:szCs w:val="20"/>
                <w:lang w:val="en-US" w:eastAsia="zh-CN" w:bidi="ar-SA"/>
              </w:rPr>
              <w:t>A</w:t>
            </w:r>
            <w:r>
              <w:rPr>
                <w:rFonts w:hint="eastAsia" w:ascii="Times New Roman" w:hAnsi="Times New Roman" w:eastAsia="宋体" w:cs="Times New Roman"/>
                <w:color w:val="auto"/>
                <w:kern w:val="0"/>
                <w:sz w:val="24"/>
                <w:szCs w:val="20"/>
                <w:vertAlign w:val="subscript"/>
                <w:lang w:val="en-US" w:eastAsia="zh-CN" w:bidi="ar-SA"/>
              </w:rPr>
              <w:t>ar</w:t>
            </w:r>
            <w:r>
              <w:rPr>
                <w:rFonts w:hint="eastAsia" w:ascii="Times New Roman" w:hAnsi="Times New Roman" w:eastAsia="宋体" w:cs="Times New Roman"/>
                <w:color w:val="auto"/>
                <w:kern w:val="0"/>
                <w:sz w:val="24"/>
                <w:szCs w:val="20"/>
                <w:lang w:val="en-US" w:eastAsia="zh-CN" w:bidi="ar-SA"/>
              </w:rPr>
              <w:t>—收到基灰分的质量分数，%；Aar=Aad×(100-Mar)/(100-Mad)</w:t>
            </w:r>
            <w:r>
              <w:rPr>
                <w:rFonts w:hint="eastAsia" w:cs="Times New Roman"/>
                <w:color w:val="auto"/>
                <w:kern w:val="0"/>
                <w:sz w:val="24"/>
                <w:szCs w:val="20"/>
                <w:lang w:val="en-US" w:eastAsia="zh-CN" w:bidi="ar-SA"/>
              </w:rPr>
              <w:t>=6.56×（100-5.5）×（100-5.55）=6.56</w:t>
            </w:r>
            <w:r>
              <w:rPr>
                <w:rFonts w:hint="eastAsia" w:ascii="Times New Roman" w:hAnsi="Times New Roman" w:eastAsia="宋体" w:cs="Times New Roman"/>
                <w:color w:val="auto"/>
                <w:kern w:val="0"/>
                <w:sz w:val="24"/>
                <w:szCs w:val="20"/>
                <w:lang w:val="en-US" w:eastAsia="zh-CN" w:bidi="ar-SA"/>
              </w:rPr>
              <w:t>，取6.56</w:t>
            </w:r>
          </w:p>
          <w:p>
            <w:pPr>
              <w:adjustRightInd w:val="0"/>
              <w:snapToGrid w:val="0"/>
              <w:spacing w:line="360" w:lineRule="auto"/>
              <w:ind w:firstLine="480" w:firstLineChars="200"/>
              <w:rPr>
                <w:iCs/>
                <w:color w:val="auto"/>
                <w:sz w:val="24"/>
              </w:rPr>
            </w:pPr>
            <w:r>
              <w:rPr>
                <w:i/>
                <w:color w:val="auto"/>
                <w:sz w:val="24"/>
              </w:rPr>
              <w:t>d</w:t>
            </w:r>
            <w:r>
              <w:rPr>
                <w:i/>
                <w:color w:val="auto"/>
                <w:sz w:val="24"/>
                <w:vertAlign w:val="subscript"/>
              </w:rPr>
              <w:t>fh</w:t>
            </w:r>
            <w:r>
              <w:rPr>
                <w:iCs/>
                <w:color w:val="auto"/>
                <w:sz w:val="24"/>
              </w:rPr>
              <w:t>——锅炉烟气带出的飞灰份额，%，根据</w:t>
            </w:r>
            <w:r>
              <w:rPr>
                <w:color w:val="auto"/>
                <w:sz w:val="24"/>
              </w:rPr>
              <w:t>《污染源源强核算技术指南 锅炉》（HJ991-2018）表B.2，</w:t>
            </w:r>
            <w:r>
              <w:rPr>
                <w:iCs/>
                <w:color w:val="auto"/>
                <w:sz w:val="24"/>
              </w:rPr>
              <w:t>本项目取</w:t>
            </w:r>
            <w:r>
              <w:rPr>
                <w:rFonts w:hint="eastAsia"/>
                <w:iCs/>
                <w:color w:val="auto"/>
                <w:sz w:val="24"/>
                <w:lang w:val="en-US" w:eastAsia="zh-CN"/>
              </w:rPr>
              <w:t>45</w:t>
            </w:r>
            <w:r>
              <w:rPr>
                <w:iCs/>
                <w:color w:val="auto"/>
                <w:sz w:val="24"/>
              </w:rPr>
              <w:t>；</w:t>
            </w:r>
          </w:p>
          <w:p>
            <w:pPr>
              <w:adjustRightInd w:val="0"/>
              <w:snapToGrid w:val="0"/>
              <w:spacing w:line="360" w:lineRule="auto"/>
              <w:ind w:firstLine="480" w:firstLineChars="200"/>
              <w:rPr>
                <w:iCs/>
                <w:color w:val="auto"/>
                <w:sz w:val="24"/>
              </w:rPr>
            </w:pPr>
            <w:r>
              <w:rPr>
                <w:i/>
                <w:color w:val="auto"/>
                <w:sz w:val="24"/>
              </w:rPr>
              <w:t>η</w:t>
            </w:r>
            <w:r>
              <w:rPr>
                <w:i/>
                <w:color w:val="auto"/>
                <w:sz w:val="24"/>
                <w:vertAlign w:val="subscript"/>
              </w:rPr>
              <w:t>c</w:t>
            </w:r>
            <w:r>
              <w:rPr>
                <w:iCs/>
                <w:color w:val="auto"/>
                <w:sz w:val="24"/>
              </w:rPr>
              <w:t>——综合除尘效率，%，本项目烟气除尘措施为布袋除尘器，</w:t>
            </w:r>
            <w:r>
              <w:rPr>
                <w:rFonts w:hint="eastAsia"/>
                <w:iCs/>
                <w:color w:val="auto"/>
                <w:sz w:val="24"/>
                <w:lang w:val="en-US" w:eastAsia="zh-CN"/>
              </w:rPr>
              <w:t>参考《</w:t>
            </w:r>
            <w:r>
              <w:rPr>
                <w:rFonts w:ascii="宋体" w:hAnsi="宋体" w:eastAsia="宋体" w:cs="宋体"/>
                <w:color w:val="auto"/>
                <w:sz w:val="24"/>
                <w:szCs w:val="24"/>
              </w:rPr>
              <w:t>锅炉产排污量核算系数手册</w:t>
            </w:r>
            <w:r>
              <w:rPr>
                <w:rFonts w:hint="eastAsia"/>
                <w:iCs/>
                <w:color w:val="auto"/>
                <w:sz w:val="24"/>
                <w:lang w:val="en-US" w:eastAsia="zh-CN"/>
              </w:rPr>
              <w:t>》中4430工业锅炉（热力生产和供应行业）产污系数表中布袋除尘器</w:t>
            </w:r>
            <w:r>
              <w:rPr>
                <w:iCs/>
                <w:color w:val="auto"/>
                <w:sz w:val="24"/>
              </w:rPr>
              <w:t>除尘效率取99</w:t>
            </w:r>
            <w:r>
              <w:rPr>
                <w:rFonts w:hint="eastAsia"/>
                <w:iCs/>
                <w:color w:val="auto"/>
                <w:sz w:val="24"/>
                <w:lang w:val="en-US" w:eastAsia="zh-CN"/>
              </w:rPr>
              <w:t>.7</w:t>
            </w:r>
            <w:r>
              <w:rPr>
                <w:iCs/>
                <w:color w:val="auto"/>
                <w:sz w:val="24"/>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iCs/>
                <w:color w:val="auto"/>
                <w:sz w:val="24"/>
              </w:rPr>
              <w:t>C</w:t>
            </w:r>
            <w:r>
              <w:rPr>
                <w:iCs/>
                <w:color w:val="auto"/>
                <w:sz w:val="24"/>
                <w:vertAlign w:val="subscript"/>
              </w:rPr>
              <w:t>fh</w:t>
            </w:r>
            <w:r>
              <w:rPr>
                <w:iCs/>
                <w:color w:val="auto"/>
                <w:sz w:val="24"/>
              </w:rPr>
              <w:t>——飞灰中的可燃物含量，%，</w:t>
            </w:r>
            <w:r>
              <w:rPr>
                <w:color w:val="auto"/>
                <w:sz w:val="24"/>
              </w:rPr>
              <w:t>《污染源源强核算技术指南 锅炉》（HJ991-2018）中要求的GB/T17954限值范围内选取，</w:t>
            </w:r>
            <w:r>
              <w:rPr>
                <w:iCs/>
                <w:color w:val="auto"/>
                <w:sz w:val="24"/>
              </w:rPr>
              <w:t>本项目取1</w:t>
            </w:r>
            <w:r>
              <w:rPr>
                <w:rFonts w:hint="eastAsia"/>
                <w:iCs/>
                <w:color w:val="auto"/>
                <w:sz w:val="24"/>
                <w:lang w:val="en-US" w:eastAsia="zh-CN"/>
              </w:rPr>
              <w:t>5</w:t>
            </w:r>
            <w:r>
              <w:rPr>
                <w:iCs/>
                <w:color w:val="auto"/>
                <w:sz w:val="24"/>
              </w:rPr>
              <w:t>%；</w:t>
            </w:r>
            <w:r>
              <w:rPr>
                <w:color w:val="auto"/>
                <w:sz w:val="24"/>
                <w:highlight w:val="none"/>
              </w:rPr>
              <w:t>；</w:t>
            </w:r>
          </w:p>
          <w:p>
            <w:pPr>
              <w:pStyle w:val="10"/>
              <w:keepNext w:val="0"/>
              <w:keepLines w:val="0"/>
              <w:pageBreakBefore w:val="0"/>
              <w:widowControl/>
              <w:shd w:val="clear" w:color="auto" w:fill="auto"/>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经计算，颗粒物排放量为</w:t>
            </w:r>
            <w:r>
              <w:rPr>
                <w:rFonts w:hint="eastAsia" w:cs="Times New Roman"/>
                <w:color w:val="auto"/>
                <w:kern w:val="2"/>
                <w:sz w:val="24"/>
                <w:szCs w:val="24"/>
                <w:highlight w:val="none"/>
                <w:lang w:val="en-US" w:eastAsia="zh-CN" w:bidi="ar-SA"/>
              </w:rPr>
              <w:t>0.073</w:t>
            </w:r>
            <w:r>
              <w:rPr>
                <w:rFonts w:hint="eastAsia" w:ascii="Times New Roman" w:hAnsi="Times New Roman" w:eastAsia="宋体" w:cs="Times New Roman"/>
                <w:color w:val="auto"/>
                <w:kern w:val="2"/>
                <w:sz w:val="24"/>
                <w:szCs w:val="24"/>
                <w:highlight w:val="none"/>
                <w:lang w:val="en-US" w:eastAsia="zh-CN" w:bidi="ar-SA"/>
              </w:rPr>
              <w:t>t/a。</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c）二氧化硫排放量按下式计算</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drawing>
                <wp:anchor distT="0" distB="0" distL="114300" distR="114300" simplePos="0" relativeHeight="251665408" behindDoc="1" locked="0" layoutInCell="1" allowOverlap="1">
                  <wp:simplePos x="0" y="0"/>
                  <wp:positionH relativeFrom="column">
                    <wp:posOffset>496570</wp:posOffset>
                  </wp:positionH>
                  <wp:positionV relativeFrom="paragraph">
                    <wp:posOffset>-29845</wp:posOffset>
                  </wp:positionV>
                  <wp:extent cx="3218815" cy="483870"/>
                  <wp:effectExtent l="0" t="0" r="635" b="11430"/>
                  <wp:wrapNone/>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pic:cNvPicPr>
                        </pic:nvPicPr>
                        <pic:blipFill>
                          <a:blip r:embed="rId21"/>
                          <a:srcRect t="3656" b="14409"/>
                          <a:stretch>
                            <a:fillRect/>
                          </a:stretch>
                        </pic:blipFill>
                        <pic:spPr>
                          <a:xfrm>
                            <a:off x="0" y="0"/>
                            <a:ext cx="3218815" cy="483870"/>
                          </a:xfrm>
                          <a:prstGeom prst="rect">
                            <a:avLst/>
                          </a:prstGeom>
                          <a:noFill/>
                          <a:ln>
                            <a:noFill/>
                          </a:ln>
                        </pic:spPr>
                      </pic:pic>
                    </a:graphicData>
                  </a:graphic>
                </wp:anchor>
              </w:drawing>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E</w:t>
            </w:r>
            <w:r>
              <w:rPr>
                <w:color w:val="auto"/>
                <w:sz w:val="24"/>
                <w:highlight w:val="none"/>
                <w:vertAlign w:val="subscript"/>
              </w:rPr>
              <w:t>SO2</w:t>
            </w:r>
            <w:r>
              <w:rPr>
                <w:color w:val="auto"/>
                <w:sz w:val="24"/>
                <w:highlight w:val="none"/>
              </w:rPr>
              <w:t>——核算时段内SO</w:t>
            </w:r>
            <w:r>
              <w:rPr>
                <w:color w:val="auto"/>
                <w:sz w:val="24"/>
                <w:highlight w:val="none"/>
                <w:vertAlign w:val="subscript"/>
              </w:rPr>
              <w:t>2</w:t>
            </w:r>
            <w:r>
              <w:rPr>
                <w:color w:val="auto"/>
                <w:sz w:val="24"/>
                <w:highlight w:val="none"/>
              </w:rPr>
              <w:t>排放量，t；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R——核算时段内锅炉燃料耗量，</w:t>
            </w:r>
            <w:r>
              <w:rPr>
                <w:rFonts w:hint="eastAsia"/>
                <w:color w:val="auto"/>
                <w:sz w:val="24"/>
                <w:highlight w:val="none"/>
              </w:rPr>
              <w:t>生物质燃料</w:t>
            </w:r>
            <w:r>
              <w:rPr>
                <w:color w:val="auto"/>
                <w:sz w:val="24"/>
                <w:highlight w:val="none"/>
              </w:rPr>
              <w:t>量</w:t>
            </w:r>
            <w:r>
              <w:rPr>
                <w:rFonts w:hint="eastAsia"/>
                <w:color w:val="auto"/>
                <w:sz w:val="24"/>
                <w:highlight w:val="none"/>
              </w:rPr>
              <w:t>为</w:t>
            </w:r>
            <w:r>
              <w:rPr>
                <w:rFonts w:hint="eastAsia" w:cs="Times New Roman"/>
                <w:color w:val="auto"/>
                <w:kern w:val="0"/>
                <w:sz w:val="24"/>
                <w:szCs w:val="24"/>
                <w:lang w:val="en-US" w:eastAsia="zh-CN"/>
              </w:rPr>
              <w:t>702</w:t>
            </w:r>
            <w:r>
              <w:rPr>
                <w:rFonts w:hint="eastAsia"/>
                <w:color w:val="auto"/>
                <w:sz w:val="24"/>
                <w:highlight w:val="none"/>
              </w:rPr>
              <w:t>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Sar——收到基硫分的质量分数，</w:t>
            </w:r>
            <w:r>
              <w:rPr>
                <w:rFonts w:hint="eastAsia"/>
                <w:color w:val="auto"/>
                <w:sz w:val="24"/>
                <w:highlight w:val="none"/>
              </w:rPr>
              <w:t>0.0</w:t>
            </w:r>
            <w:r>
              <w:rPr>
                <w:rFonts w:hint="eastAsia"/>
                <w:color w:val="auto"/>
                <w:sz w:val="24"/>
                <w:highlight w:val="none"/>
                <w:lang w:val="en-US" w:eastAsia="zh-CN"/>
              </w:rPr>
              <w:t>2</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q</w:t>
            </w:r>
            <w:r>
              <w:rPr>
                <w:color w:val="auto"/>
                <w:sz w:val="24"/>
                <w:highlight w:val="none"/>
                <w:vertAlign w:val="subscript"/>
              </w:rPr>
              <w:t>4</w:t>
            </w:r>
            <w:r>
              <w:rPr>
                <w:color w:val="auto"/>
                <w:sz w:val="24"/>
                <w:highlight w:val="none"/>
              </w:rPr>
              <w:t>——锅炉机械不完全燃烧热损失，</w:t>
            </w:r>
            <w:r>
              <w:rPr>
                <w:rFonts w:hint="eastAsia"/>
                <w:color w:val="auto"/>
                <w:sz w:val="24"/>
                <w:highlight w:val="none"/>
              </w:rPr>
              <w:t>取</w:t>
            </w:r>
            <w:r>
              <w:rPr>
                <w:color w:val="auto"/>
                <w:sz w:val="24"/>
                <w:highlight w:val="none"/>
              </w:rPr>
              <w:t>10</w:t>
            </w:r>
            <w:r>
              <w:rPr>
                <w:b/>
                <w:color w:val="auto"/>
                <w:sz w:val="24"/>
                <w:highlight w:val="none"/>
              </w:rPr>
              <w: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ηs——脱硫效率，取</w:t>
            </w:r>
            <w:r>
              <w:rPr>
                <w:rFonts w:hint="eastAsia"/>
                <w:color w:val="auto"/>
                <w:sz w:val="24"/>
                <w:highlight w:val="none"/>
              </w:rPr>
              <w:t>0</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K——燃料中的硫燃烧后氧化成二氧化硫的份额，</w:t>
            </w:r>
            <w:r>
              <w:rPr>
                <w:rFonts w:hint="eastAsia"/>
                <w:color w:val="auto"/>
                <w:sz w:val="24"/>
                <w:highlight w:val="none"/>
              </w:rPr>
              <w:t>本环评取</w:t>
            </w:r>
            <w:r>
              <w:rPr>
                <w:color w:val="auto"/>
                <w:sz w:val="24"/>
                <w:highlight w:val="none"/>
              </w:rPr>
              <w:t>0.4；</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olor w:val="auto"/>
                <w:sz w:val="24"/>
                <w:highlight w:val="none"/>
                <w:lang w:val="en-US"/>
              </w:rPr>
            </w:pPr>
            <w:r>
              <w:rPr>
                <w:rFonts w:hint="eastAsia" w:ascii="Times New Roman" w:hAnsi="Times New Roman" w:eastAsia="宋体" w:cs="Times New Roman"/>
                <w:color w:val="auto"/>
                <w:kern w:val="2"/>
                <w:sz w:val="24"/>
                <w:szCs w:val="24"/>
                <w:highlight w:val="none"/>
                <w:lang w:val="en-US" w:eastAsia="zh-CN" w:bidi="ar-SA"/>
              </w:rPr>
              <w:t>经计算，二氧化硫排放量为0.</w:t>
            </w:r>
            <w:r>
              <w:rPr>
                <w:rFonts w:hint="eastAsia" w:cs="Times New Roman"/>
                <w:color w:val="auto"/>
                <w:kern w:val="2"/>
                <w:sz w:val="24"/>
                <w:szCs w:val="24"/>
                <w:highlight w:val="none"/>
                <w:lang w:val="en-US" w:eastAsia="zh-CN" w:bidi="ar-SA"/>
              </w:rPr>
              <w:t>101</w:t>
            </w:r>
            <w:r>
              <w:rPr>
                <w:rFonts w:hint="eastAsia" w:ascii="Times New Roman" w:hAnsi="Times New Roman" w:eastAsia="宋体" w:cs="Times New Roman"/>
                <w:color w:val="auto"/>
                <w:kern w:val="2"/>
                <w:sz w:val="24"/>
                <w:szCs w:val="24"/>
                <w:highlight w:val="none"/>
                <w:lang w:val="en-US" w:eastAsia="zh-CN" w:bidi="ar-SA"/>
              </w:rPr>
              <w:t>t/a。</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d）氮氧化物排放量</w:t>
            </w:r>
          </w:p>
          <w:p>
            <w:pPr>
              <w:keepNext w:val="0"/>
              <w:keepLines w:val="0"/>
              <w:pageBreakBefore w:val="0"/>
              <w:shd w:val="clear" w:color="auto" w:fill="auto"/>
              <w:kinsoku/>
              <w:wordWrap/>
              <w:overflowPunct/>
              <w:topLinePunct w:val="0"/>
              <w:autoSpaceDE/>
              <w:autoSpaceDN/>
              <w:bidi w:val="0"/>
              <w:spacing w:line="360" w:lineRule="auto"/>
              <w:ind w:firstLine="420" w:firstLineChars="200"/>
              <w:textAlignment w:val="auto"/>
              <w:rPr>
                <w:color w:val="auto"/>
              </w:rPr>
            </w:pPr>
            <w:r>
              <w:rPr>
                <w:color w:val="auto"/>
              </w:rPr>
              <w:drawing>
                <wp:inline distT="0" distB="0" distL="114300" distR="114300">
                  <wp:extent cx="3152775" cy="657225"/>
                  <wp:effectExtent l="0" t="0" r="952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2"/>
                          <a:stretch>
                            <a:fillRect/>
                          </a:stretch>
                        </pic:blipFill>
                        <pic:spPr>
                          <a:xfrm>
                            <a:off x="0" y="0"/>
                            <a:ext cx="3152775" cy="657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式中： E</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 xml:space="preserve">——核算时段内氮氧化物排放量，t；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ρ</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 xml:space="preserve">——锅炉炉膛出口氮氧化物质量浓度，依据《污染源源强核算技术指南 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炉》附录 B4，生物质炉膛出口氮氧化物质量浓度范围 100-600mg/m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，本环评取1</w:t>
            </w:r>
            <w:r>
              <w:rPr>
                <w:rFonts w:hint="eastAsia"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0mg/m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Q——干烟气排放量，为</w:t>
            </w:r>
            <w:r>
              <w:rPr>
                <w:rFonts w:hint="eastAsia"/>
                <w:color w:val="auto"/>
                <w:sz w:val="24"/>
                <w:highlight w:val="none"/>
                <w:lang w:val="en-US" w:eastAsia="zh-CN"/>
              </w:rPr>
              <w:t>5241560.22</w:t>
            </w:r>
            <w:r>
              <w:rPr>
                <w:rFonts w:hint="default" w:ascii="Times New Roman" w:hAnsi="Times New Roman" w:eastAsia="宋体" w:cs="Times New Roman"/>
                <w:color w:val="auto"/>
                <w:kern w:val="0"/>
                <w:sz w:val="24"/>
                <w:szCs w:val="24"/>
                <w:lang w:val="en-US" w:eastAsia="zh-CN" w:bidi="ar"/>
              </w:rPr>
              <w:t>Nm</w:t>
            </w:r>
            <w:r>
              <w:rPr>
                <w:rFonts w:hint="default" w:ascii="Times New Roman" w:hAnsi="Times New Roman" w:eastAsia="宋体" w:cs="Times New Roman"/>
                <w:color w:val="auto"/>
                <w:kern w:val="0"/>
                <w:sz w:val="24"/>
                <w:szCs w:val="24"/>
                <w:vertAlign w:val="superscript"/>
                <w:lang w:val="en-US" w:eastAsia="zh-CN" w:bidi="ar"/>
              </w:rPr>
              <w:t xml:space="preserve">3 </w:t>
            </w:r>
            <w:r>
              <w:rPr>
                <w:rFonts w:hint="default" w:ascii="Times New Roman" w:hAnsi="Times New Roman" w:eastAsia="宋体" w:cs="Times New Roman"/>
                <w:color w:val="auto"/>
                <w:kern w:val="0"/>
                <w:sz w:val="24"/>
                <w:szCs w:val="24"/>
                <w:lang w:val="en-US" w:eastAsia="zh-CN" w:bidi="ar"/>
              </w:rPr>
              <w:t xml:space="preserve">/a；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ηNOx——脱硝效率，取</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经计算，氮氧化物排放量为</w:t>
            </w:r>
            <w:r>
              <w:rPr>
                <w:rFonts w:hint="eastAsia" w:cs="Times New Roman"/>
                <w:color w:val="auto"/>
                <w:kern w:val="0"/>
                <w:sz w:val="24"/>
                <w:szCs w:val="24"/>
                <w:lang w:val="en-US" w:eastAsia="zh-CN" w:bidi="ar"/>
              </w:rPr>
              <w:t>0.943</w:t>
            </w:r>
            <w:r>
              <w:rPr>
                <w:rFonts w:hint="default" w:ascii="Times New Roman" w:hAnsi="Times New Roman" w:eastAsia="宋体" w:cs="Times New Roman"/>
                <w:color w:val="auto"/>
                <w:kern w:val="0"/>
                <w:sz w:val="24"/>
                <w:szCs w:val="24"/>
                <w:lang w:val="en-US" w:eastAsia="zh-CN" w:bidi="ar"/>
              </w:rPr>
              <w:t>t/a。</w:t>
            </w:r>
          </w:p>
          <w:bookmarkEnd w:id="21"/>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e)烟气黑度</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参照同类项目，在采取布袋除尘器处理后，烟气黑度小于1。</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4</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  </w:t>
            </w:r>
            <w:r>
              <w:rPr>
                <w:rFonts w:hint="eastAsia" w:ascii="Times New Roman" w:hAnsi="Times New Roman" w:eastAsia="宋体" w:cs="Times New Roman"/>
                <w:b/>
                <w:bCs/>
                <w:color w:val="auto"/>
                <w:kern w:val="0"/>
                <w:sz w:val="21"/>
                <w:szCs w:val="21"/>
                <w:highlight w:val="none"/>
                <w:lang w:val="en-US" w:eastAsia="zh-CN"/>
              </w:rPr>
              <w:t>热风炉</w:t>
            </w:r>
            <w:r>
              <w:rPr>
                <w:rFonts w:hint="default" w:ascii="Times New Roman" w:hAnsi="Times New Roman" w:eastAsia="宋体" w:cs="Times New Roman"/>
                <w:b/>
                <w:bCs/>
                <w:color w:val="auto"/>
                <w:kern w:val="0"/>
                <w:sz w:val="21"/>
                <w:szCs w:val="21"/>
                <w:highlight w:val="none"/>
              </w:rPr>
              <w:t>燃烧废气排放情况  （单位：mg/m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bl>
            <w:tblPr>
              <w:tblStyle w:val="30"/>
              <w:tblW w:w="86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18"/>
              <w:gridCol w:w="2314"/>
              <w:gridCol w:w="2315"/>
              <w:gridCol w:w="2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污染物</w:t>
                  </w:r>
                </w:p>
              </w:tc>
              <w:tc>
                <w:tcPr>
                  <w:tcW w:w="2314"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w:t>
                  </w:r>
                  <w:r>
                    <w:rPr>
                      <w:rFonts w:hint="eastAsia" w:ascii="Times New Roman" w:hAnsi="Times New Roman"/>
                      <w:b/>
                      <w:bCs/>
                      <w:color w:val="auto"/>
                      <w:highlight w:val="none"/>
                      <w:lang w:val="en-US" w:eastAsia="zh-CN"/>
                    </w:rPr>
                    <w:t>速率</w:t>
                  </w:r>
                  <w:r>
                    <w:rPr>
                      <w:rFonts w:hint="eastAsia" w:ascii="Times New Roman" w:hAnsi="Times New Roman"/>
                      <w:b/>
                      <w:bCs/>
                      <w:color w:val="auto"/>
                      <w:highlight w:val="none"/>
                    </w:rPr>
                    <w:t>（</w:t>
                  </w:r>
                  <w:r>
                    <w:rPr>
                      <w:rFonts w:ascii="Times New Roman" w:hAnsi="Times New Roman"/>
                      <w:b/>
                      <w:bCs/>
                      <w:color w:val="auto"/>
                      <w:highlight w:val="none"/>
                    </w:rPr>
                    <w:t>kg/h</w:t>
                  </w:r>
                  <w:r>
                    <w:rPr>
                      <w:rFonts w:hint="eastAsia" w:ascii="Times New Roman" w:hAnsi="Times New Roman"/>
                      <w:b/>
                      <w:bCs/>
                      <w:color w:val="auto"/>
                      <w:highlight w:val="none"/>
                    </w:rPr>
                    <w:t>）</w:t>
                  </w:r>
                </w:p>
              </w:tc>
              <w:tc>
                <w:tcPr>
                  <w:tcW w:w="2315"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排放量</w:t>
                  </w:r>
                  <w:r>
                    <w:rPr>
                      <w:rFonts w:hint="eastAsia" w:ascii="Times New Roman" w:hAnsi="Times New Roman"/>
                      <w:b/>
                      <w:bCs/>
                      <w:color w:val="auto"/>
                      <w:highlight w:val="none"/>
                    </w:rPr>
                    <w:t>（</w:t>
                  </w:r>
                  <w:r>
                    <w:rPr>
                      <w:rFonts w:ascii="Times New Roman" w:hAnsi="Times New Roman"/>
                      <w:b/>
                      <w:bCs/>
                      <w:color w:val="auto"/>
                      <w:highlight w:val="none"/>
                    </w:rPr>
                    <w:t>t/a</w:t>
                  </w:r>
                  <w:r>
                    <w:rPr>
                      <w:rFonts w:hint="eastAsia" w:ascii="Times New Roman" w:hAnsi="Times New Roman"/>
                      <w:b/>
                      <w:bCs/>
                      <w:color w:val="auto"/>
                      <w:highlight w:val="none"/>
                    </w:rPr>
                    <w:t>）</w:t>
                  </w:r>
                </w:p>
              </w:tc>
              <w:tc>
                <w:tcPr>
                  <w:tcW w:w="2315"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排放浓度</w:t>
                  </w:r>
                  <w:r>
                    <w:rPr>
                      <w:rFonts w:hint="eastAsia" w:ascii="Times New Roman" w:hAnsi="Times New Roman"/>
                      <w:b/>
                      <w:bCs/>
                      <w:color w:val="auto"/>
                      <w:highlight w:val="none"/>
                    </w:rPr>
                    <w:t>（</w:t>
                  </w:r>
                  <w:r>
                    <w:rPr>
                      <w:rFonts w:ascii="Times New Roman" w:hAnsi="Times New Roman"/>
                      <w:b/>
                      <w:bCs/>
                      <w:color w:val="auto"/>
                      <w:highlight w:val="none"/>
                    </w:rPr>
                    <w:t>mg/m</w:t>
                  </w:r>
                  <w:r>
                    <w:rPr>
                      <w:rFonts w:ascii="Times New Roman" w:hAnsi="Times New Roman"/>
                      <w:b/>
                      <w:bCs/>
                      <w:color w:val="auto"/>
                      <w:highlight w:val="none"/>
                      <w:vertAlign w:val="superscript"/>
                    </w:rPr>
                    <w:t>3</w:t>
                  </w:r>
                  <w:r>
                    <w:rPr>
                      <w:rFonts w:hint="eastAsia" w:ascii="Times New Roman" w:hAnsi="Times New Roman"/>
                      <w:b/>
                      <w:bCs/>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烟气量</w:t>
                  </w:r>
                </w:p>
              </w:tc>
              <w:tc>
                <w:tcPr>
                  <w:tcW w:w="6944" w:type="dxa"/>
                  <w:gridSpan w:val="3"/>
                  <w:noWrap w:val="0"/>
                  <w:vAlign w:val="center"/>
                </w:tcPr>
                <w:p>
                  <w:pPr>
                    <w:shd w:val="clear" w:color="auto" w:fill="auto"/>
                    <w:spacing w:line="360" w:lineRule="exact"/>
                    <w:jc w:val="center"/>
                    <w:textAlignment w:val="center"/>
                    <w:rPr>
                      <w:rFonts w:hint="eastAsia" w:eastAsia="宋体"/>
                      <w:color w:val="auto"/>
                      <w:sz w:val="21"/>
                      <w:szCs w:val="21"/>
                      <w:highlight w:val="none"/>
                      <w:lang w:eastAsia="zh-CN"/>
                    </w:rPr>
                  </w:pPr>
                  <w:r>
                    <w:rPr>
                      <w:rFonts w:hint="eastAsia" w:ascii="Times New Roman" w:hAnsi="Times New Roman" w:eastAsia="宋体" w:cs="Times New Roman"/>
                      <w:i w:val="0"/>
                      <w:iCs w:val="0"/>
                      <w:color w:val="auto"/>
                      <w:kern w:val="0"/>
                      <w:sz w:val="21"/>
                      <w:szCs w:val="21"/>
                      <w:u w:val="none"/>
                      <w:lang w:val="en-US" w:eastAsia="zh-CN" w:bidi="ar"/>
                    </w:rPr>
                    <w:t>5241560.22</w:t>
                  </w:r>
                  <w:r>
                    <w:rPr>
                      <w:color w:val="auto"/>
                      <w:sz w:val="21"/>
                      <w:szCs w:val="21"/>
                      <w:highlight w:val="none"/>
                      <w:lang w:bidi="ar"/>
                    </w:rPr>
                    <w:t>Nm</w:t>
                  </w:r>
                  <w:r>
                    <w:rPr>
                      <w:color w:val="auto"/>
                      <w:sz w:val="21"/>
                      <w:szCs w:val="21"/>
                      <w:highlight w:val="none"/>
                      <w:vertAlign w:val="superscript"/>
                      <w:lang w:bidi="ar"/>
                    </w:rPr>
                    <w:t>3</w:t>
                  </w:r>
                  <w:r>
                    <w:rPr>
                      <w:color w:val="auto"/>
                      <w:sz w:val="21"/>
                      <w:szCs w:val="21"/>
                      <w:highlight w:val="none"/>
                      <w:lang w:bidi="ar"/>
                    </w:rPr>
                    <w:t>/</w:t>
                  </w:r>
                  <w:r>
                    <w:rPr>
                      <w:rFonts w:hint="eastAsia"/>
                      <w:color w:val="auto"/>
                      <w:sz w:val="21"/>
                      <w:szCs w:val="21"/>
                      <w:highlight w:val="none"/>
                      <w:lang w:val="en-US" w:eastAsia="zh-CN" w:bidi="ar"/>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颗粒物</w:t>
                  </w:r>
                </w:p>
              </w:tc>
              <w:tc>
                <w:tcPr>
                  <w:tcW w:w="2314"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0.152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0.073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SO</w:t>
                  </w:r>
                  <w:r>
                    <w:rPr>
                      <w:rFonts w:ascii="Times New Roman" w:hAnsi="Times New Roman"/>
                      <w:color w:val="auto"/>
                      <w:highlight w:val="none"/>
                      <w:vertAlign w:val="subscript"/>
                    </w:rPr>
                    <w:t>2</w:t>
                  </w:r>
                </w:p>
              </w:tc>
              <w:tc>
                <w:tcPr>
                  <w:tcW w:w="2314"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0.211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0.101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19.286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NOx</w:t>
                  </w:r>
                </w:p>
              </w:tc>
              <w:tc>
                <w:tcPr>
                  <w:tcW w:w="2314"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1.966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2315"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180.000 </w:t>
                  </w:r>
                </w:p>
              </w:tc>
            </w:tr>
          </w:tbl>
          <w:p>
            <w:pPr>
              <w:pStyle w:val="87"/>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jc w:val="both"/>
              <w:rPr>
                <w:rFonts w:hint="default" w:eastAsia="宋体"/>
                <w:color w:val="auto"/>
                <w:sz w:val="24"/>
                <w:szCs w:val="24"/>
                <w:lang w:val="en-US" w:eastAsia="zh-CN"/>
              </w:rPr>
            </w:pPr>
            <w:r>
              <w:rPr>
                <w:rFonts w:eastAsia="宋体"/>
                <w:color w:val="auto"/>
                <w:sz w:val="24"/>
                <w:szCs w:val="24"/>
                <w:highlight w:val="none"/>
              </w:rPr>
              <w:t>热风炉烟气处理</w:t>
            </w:r>
            <w:r>
              <w:rPr>
                <w:rFonts w:eastAsia="宋体"/>
                <w:color w:val="auto"/>
                <w:sz w:val="24"/>
                <w:szCs w:val="24"/>
              </w:rPr>
              <w:t>设施为布袋除尘</w:t>
            </w:r>
            <w:r>
              <w:rPr>
                <w:rFonts w:eastAsia="宋体"/>
                <w:color w:val="auto"/>
                <w:sz w:val="24"/>
                <w:szCs w:val="24"/>
                <w:highlight w:val="none"/>
              </w:rPr>
              <w:t>器</w:t>
            </w:r>
            <w:r>
              <w:rPr>
                <w:rFonts w:hint="eastAsia"/>
                <w:color w:val="auto"/>
                <w:sz w:val="24"/>
                <w:szCs w:val="24"/>
                <w:highlight w:val="none"/>
                <w:lang w:val="en-US" w:eastAsia="zh-CN"/>
              </w:rPr>
              <w:t>+15m高排气筒</w:t>
            </w:r>
            <w:r>
              <w:rPr>
                <w:rFonts w:eastAsia="宋体"/>
                <w:color w:val="auto"/>
                <w:sz w:val="24"/>
                <w:szCs w:val="24"/>
                <w:highlight w:val="none"/>
              </w:rPr>
              <w:t>。热风炉烟气处理后经15m高</w:t>
            </w:r>
            <w:r>
              <w:rPr>
                <w:rFonts w:hint="eastAsia"/>
                <w:color w:val="auto"/>
                <w:sz w:val="24"/>
                <w:szCs w:val="24"/>
                <w:highlight w:val="none"/>
                <w:lang w:val="en-US" w:eastAsia="zh-CN"/>
              </w:rPr>
              <w:t>排气筒</w:t>
            </w:r>
            <w:r>
              <w:rPr>
                <w:rFonts w:eastAsia="宋体"/>
                <w:color w:val="auto"/>
                <w:sz w:val="24"/>
                <w:szCs w:val="24"/>
                <w:highlight w:val="none"/>
              </w:rPr>
              <w:t>排放，排放量</w:t>
            </w:r>
            <w:r>
              <w:rPr>
                <w:rFonts w:hint="eastAsia"/>
                <w:color w:val="auto"/>
                <w:sz w:val="24"/>
                <w:szCs w:val="24"/>
                <w:highlight w:val="none"/>
                <w:lang w:eastAsia="zh-CN"/>
              </w:rPr>
              <w:t>烟尘</w:t>
            </w:r>
            <w:r>
              <w:rPr>
                <w:rFonts w:eastAsia="宋体"/>
                <w:color w:val="auto"/>
                <w:sz w:val="24"/>
                <w:szCs w:val="24"/>
                <w:highlight w:val="none"/>
              </w:rPr>
              <w:t>为</w:t>
            </w:r>
            <w:r>
              <w:rPr>
                <w:rFonts w:hint="eastAsia"/>
                <w:color w:val="auto"/>
                <w:sz w:val="24"/>
                <w:szCs w:val="24"/>
                <w:highlight w:val="none"/>
                <w:vertAlign w:val="baseline"/>
                <w:lang w:val="en-US" w:eastAsia="zh-CN"/>
              </w:rPr>
              <w:t>0.073</w:t>
            </w:r>
            <w:r>
              <w:rPr>
                <w:rFonts w:eastAsia="宋体"/>
                <w:color w:val="auto"/>
                <w:sz w:val="24"/>
                <w:szCs w:val="24"/>
                <w:highlight w:val="none"/>
              </w:rPr>
              <w:t>t/a、SO</w:t>
            </w:r>
            <w:r>
              <w:rPr>
                <w:rFonts w:eastAsia="宋体"/>
                <w:color w:val="auto"/>
                <w:sz w:val="24"/>
                <w:szCs w:val="24"/>
                <w:highlight w:val="none"/>
                <w:vertAlign w:val="subscript"/>
              </w:rPr>
              <w:t>2</w:t>
            </w:r>
            <w:r>
              <w:rPr>
                <w:rFonts w:eastAsia="宋体"/>
                <w:color w:val="auto"/>
                <w:sz w:val="24"/>
                <w:szCs w:val="24"/>
                <w:highlight w:val="none"/>
              </w:rPr>
              <w:t>为</w:t>
            </w:r>
            <w:r>
              <w:rPr>
                <w:rFonts w:hint="eastAsia"/>
                <w:color w:val="auto"/>
                <w:sz w:val="24"/>
                <w:szCs w:val="24"/>
                <w:highlight w:val="none"/>
                <w:vertAlign w:val="baseline"/>
                <w:lang w:val="en-US" w:eastAsia="zh-CN"/>
              </w:rPr>
              <w:t>0.101</w:t>
            </w:r>
            <w:r>
              <w:rPr>
                <w:rFonts w:eastAsia="宋体"/>
                <w:color w:val="auto"/>
                <w:sz w:val="24"/>
                <w:szCs w:val="24"/>
                <w:highlight w:val="none"/>
              </w:rPr>
              <w:t>t/a、NOx为</w:t>
            </w:r>
            <w:r>
              <w:rPr>
                <w:rFonts w:hint="eastAsia"/>
                <w:color w:val="auto"/>
                <w:sz w:val="24"/>
                <w:szCs w:val="24"/>
                <w:highlight w:val="none"/>
                <w:lang w:val="en-US" w:eastAsia="zh-CN"/>
              </w:rPr>
              <w:t>0.943</w:t>
            </w:r>
            <w:r>
              <w:rPr>
                <w:rFonts w:eastAsia="宋体"/>
                <w:color w:val="auto"/>
                <w:sz w:val="24"/>
                <w:szCs w:val="24"/>
                <w:highlight w:val="none"/>
              </w:rPr>
              <w:t>t/a；污染</w:t>
            </w:r>
            <w:r>
              <w:rPr>
                <w:rFonts w:hint="default" w:ascii="Times New Roman" w:hAnsi="Times New Roman" w:eastAsia="宋体" w:cs="Times New Roman"/>
                <w:color w:val="auto"/>
                <w:sz w:val="24"/>
                <w:szCs w:val="24"/>
                <w:highlight w:val="none"/>
              </w:rPr>
              <w:t>物排放浓度烟尘为</w:t>
            </w:r>
            <w:r>
              <w:rPr>
                <w:rFonts w:hint="eastAsia" w:cs="Times New Roman"/>
                <w:color w:val="auto"/>
                <w:sz w:val="24"/>
                <w:szCs w:val="24"/>
                <w:highlight w:val="none"/>
                <w:lang w:val="en-US" w:eastAsia="zh-CN"/>
              </w:rPr>
              <w:t>13.954</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19.286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、NOx为</w:t>
            </w:r>
            <w:r>
              <w:rPr>
                <w:rFonts w:hint="eastAsia"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；热风炉</w:t>
            </w:r>
            <w:r>
              <w:rPr>
                <w:rFonts w:hint="eastAsia"/>
                <w:color w:val="auto"/>
                <w:sz w:val="24"/>
                <w:szCs w:val="24"/>
                <w:highlight w:val="none"/>
                <w:lang w:eastAsia="zh-CN"/>
              </w:rPr>
              <w:t>烟尘</w:t>
            </w:r>
            <w:r>
              <w:rPr>
                <w:rFonts w:hint="default" w:ascii="Times New Roman" w:hAnsi="Times New Roman" w:cs="Times New Roman"/>
                <w:color w:val="auto"/>
                <w:sz w:val="24"/>
                <w:szCs w:val="24"/>
                <w:highlight w:val="none"/>
                <w:lang w:eastAsia="zh-CN"/>
              </w:rPr>
              <w:t>、SO</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rPr>
              <w:t>排</w:t>
            </w:r>
            <w:r>
              <w:rPr>
                <w:rFonts w:hint="default" w:ascii="Times New Roman" w:hAnsi="Times New Roman" w:eastAsia="宋体" w:cs="Times New Roman"/>
                <w:color w:val="auto"/>
                <w:sz w:val="24"/>
                <w:szCs w:val="24"/>
              </w:rPr>
              <w:t>放</w:t>
            </w:r>
            <w:r>
              <w:rPr>
                <w:rFonts w:hint="eastAsia" w:cs="Times New Roman"/>
                <w:color w:val="auto"/>
                <w:sz w:val="24"/>
                <w:szCs w:val="24"/>
                <w:lang w:eastAsia="zh-CN"/>
              </w:rPr>
              <w:t>浓度</w:t>
            </w:r>
            <w:r>
              <w:rPr>
                <w:rFonts w:hint="default" w:ascii="Times New Roman" w:hAnsi="Times New Roman" w:eastAsia="宋体" w:cs="Times New Roman"/>
                <w:color w:val="auto"/>
                <w:sz w:val="24"/>
                <w:szCs w:val="24"/>
              </w:rPr>
              <w:t>均满足《工业炉窑大气污染物排放标准》（GB9078-1996）</w:t>
            </w:r>
            <w:r>
              <w:rPr>
                <w:color w:val="auto"/>
                <w:sz w:val="24"/>
                <w:highlight w:val="none"/>
              </w:rPr>
              <w:t>中表</w:t>
            </w:r>
            <w:r>
              <w:rPr>
                <w:rFonts w:ascii="Times New Roman" w:hAnsi="Times New Roman" w:eastAsia="宋体" w:cs="Times New Roman"/>
                <w:bCs/>
                <w:color w:val="auto"/>
                <w:spacing w:val="-10"/>
                <w:sz w:val="24"/>
                <w:highlight w:val="none"/>
              </w:rPr>
              <w:t>2和表4二级标准</w:t>
            </w:r>
            <w:r>
              <w:rPr>
                <w:rFonts w:hint="default" w:ascii="Times New Roman" w:hAnsi="Times New Roman" w:cs="Times New Roman"/>
                <w:color w:val="auto"/>
                <w:sz w:val="24"/>
                <w:szCs w:val="24"/>
                <w:lang w:val="en-US" w:eastAsia="zh-CN"/>
              </w:rPr>
              <w:t>。</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大气污染源情况一览表</w:t>
            </w:r>
          </w:p>
          <w:tbl>
            <w:tblPr>
              <w:tblStyle w:val="31"/>
              <w:tblW w:w="86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28"/>
              <w:gridCol w:w="429"/>
              <w:gridCol w:w="761"/>
              <w:gridCol w:w="966"/>
              <w:gridCol w:w="617"/>
              <w:gridCol w:w="1222"/>
              <w:gridCol w:w="538"/>
              <w:gridCol w:w="429"/>
              <w:gridCol w:w="711"/>
              <w:gridCol w:w="882"/>
              <w:gridCol w:w="674"/>
              <w:gridCol w:w="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2773"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420" w:firstLineChars="20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污染物产生</w:t>
                  </w:r>
                </w:p>
              </w:tc>
              <w:tc>
                <w:tcPr>
                  <w:tcW w:w="17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治理措施</w:t>
                  </w:r>
                </w:p>
              </w:tc>
              <w:tc>
                <w:tcPr>
                  <w:tcW w:w="2696"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rPr>
                  </w:pPr>
                  <w:r>
                    <w:rPr>
                      <w:rFonts w:hint="default" w:ascii="Times New Roman" w:hAnsi="Times New Roman" w:eastAsia="宋体" w:cs="Times New Roman"/>
                      <w:b w:val="0"/>
                      <w:bCs w:val="0"/>
                      <w:color w:val="auto"/>
                      <w:spacing w:val="0"/>
                      <w:kern w:val="0"/>
                      <w:sz w:val="21"/>
                      <w:szCs w:val="21"/>
                      <w:lang w:val="en-US" w:eastAsia="zh-CN" w:bidi="ar-SA"/>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rPr>
                    <w:t>产生量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工艺</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效率</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lang w:val="en-US"/>
                    </w:rPr>
                  </w:pPr>
                  <w:r>
                    <w:rPr>
                      <w:rFonts w:hint="default" w:ascii="Times New Roman" w:hAnsi="Times New Roman" w:eastAsia="宋体" w:cs="Times New Roman"/>
                      <w:b w:val="0"/>
                      <w:bCs w:val="0"/>
                      <w:i w:val="0"/>
                      <w:iCs w:val="0"/>
                      <w:color w:val="auto"/>
                      <w:spacing w:val="0"/>
                      <w:kern w:val="0"/>
                      <w:sz w:val="21"/>
                      <w:szCs w:val="21"/>
                      <w:lang w:eastAsia="zh-CN"/>
                    </w:rPr>
                    <w:t>排放速率</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浓度</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default" w:ascii="Times New Roman" w:hAnsi="Times New Roman" w:cs="Times New Roman"/>
                      <w:b w:val="0"/>
                      <w:bCs w:val="0"/>
                      <w:i w:val="0"/>
                      <w:iCs w:val="0"/>
                      <w:color w:val="auto"/>
                      <w:spacing w:val="0"/>
                      <w:sz w:val="21"/>
                      <w:szCs w:val="21"/>
                      <w:highlight w:val="none"/>
                      <w:vertAlign w:val="baseline"/>
                      <w:lang w:val="en-US" w:eastAsia="zh-CN"/>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量</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auto"/>
                      <w:spacing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装卸</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筛分</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r>
                    <w:rPr>
                      <w:rFonts w:hint="eastAsia" w:ascii="Times New Roman" w:hAnsi="Times New Roman" w:eastAsia="宋体" w:cs="Times New Roman"/>
                      <w:b w:val="0"/>
                      <w:bCs w:val="0"/>
                      <w:i w:val="0"/>
                      <w:iCs w:val="0"/>
                      <w:color w:val="auto"/>
                      <w:spacing w:val="0"/>
                      <w:sz w:val="21"/>
                      <w:szCs w:val="21"/>
                      <w:vertAlign w:val="baseline"/>
                      <w:lang w:eastAsia="zh-CN"/>
                    </w:rPr>
                    <w:t>烘干塔、</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输送</w:t>
                  </w:r>
                  <w:r>
                    <w:rPr>
                      <w:rFonts w:hint="default" w:ascii="Times New Roman" w:hAnsi="Times New Roman" w:eastAsia="宋体" w:cs="Times New Roman"/>
                      <w:b w:val="0"/>
                      <w:bCs w:val="0"/>
                      <w:i w:val="0"/>
                      <w:iCs w:val="0"/>
                      <w:color w:val="auto"/>
                      <w:spacing w:val="0"/>
                      <w:sz w:val="21"/>
                      <w:szCs w:val="21"/>
                      <w:vertAlign w:val="baseline"/>
                      <w:lang w:val="en-US" w:eastAsia="zh-CN"/>
                    </w:rPr>
                    <w:t>无组织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颗粒物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12.996</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6.238</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封闭传送带，装卸区设置遮挡设施，采用封闭式清理筛，</w:t>
                  </w:r>
                  <w:r>
                    <w:rPr>
                      <w:rFonts w:hint="eastAsia" w:ascii="Times New Roman" w:hAnsi="Times New Roman" w:eastAsia="宋体" w:cs="Times New Roman"/>
                      <w:b w:val="0"/>
                      <w:bCs w:val="0"/>
                      <w:i w:val="0"/>
                      <w:iCs w:val="0"/>
                      <w:color w:val="auto"/>
                      <w:spacing w:val="0"/>
                      <w:kern w:val="0"/>
                      <w:sz w:val="21"/>
                      <w:szCs w:val="21"/>
                      <w:lang w:val="en-US" w:eastAsia="zh-CN"/>
                    </w:rPr>
                    <w:t>烘干塔体两侧排气孔设置折流挡板</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90</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1.3</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bidi="ar-SA"/>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0.624</w:t>
                  </w:r>
                </w:p>
              </w:tc>
              <w:tc>
                <w:tcPr>
                  <w:tcW w:w="57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热风炉烟气有组织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颗粒物</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50.792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4651.296 </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24.380 </w:t>
                  </w:r>
                </w:p>
              </w:tc>
              <w:tc>
                <w:tcPr>
                  <w:tcW w:w="122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default" w:ascii="Times New Roman" w:hAnsi="Times New Roman" w:cs="Times New Roman"/>
                      <w:b w:val="0"/>
                      <w:bCs w:val="0"/>
                      <w:color w:val="auto"/>
                      <w:spacing w:val="0"/>
                      <w:sz w:val="21"/>
                      <w:szCs w:val="21"/>
                      <w:vertAlign w:val="baseline"/>
                      <w:lang w:val="en-US" w:eastAsia="zh-CN"/>
                    </w:rPr>
                    <w:t>布袋除尘器</w:t>
                  </w:r>
                  <w:r>
                    <w:rPr>
                      <w:rFonts w:hint="eastAsia" w:cs="Times New Roman"/>
                      <w:b w:val="0"/>
                      <w:bCs w:val="0"/>
                      <w:color w:val="auto"/>
                      <w:spacing w:val="0"/>
                      <w:sz w:val="21"/>
                      <w:szCs w:val="21"/>
                      <w:vertAlign w:val="baseline"/>
                      <w:lang w:val="en-US" w:eastAsia="zh-CN"/>
                    </w:rPr>
                    <w:t>+</w:t>
                  </w:r>
                  <w:r>
                    <w:rPr>
                      <w:rFonts w:hint="default" w:ascii="Times New Roman" w:hAnsi="Times New Roman" w:cs="Times New Roman"/>
                      <w:b w:val="0"/>
                      <w:bCs w:val="0"/>
                      <w:color w:val="auto"/>
                      <w:spacing w:val="0"/>
                      <w:sz w:val="21"/>
                      <w:szCs w:val="21"/>
                      <w:vertAlign w:val="baseline"/>
                      <w:lang w:val="en-US" w:eastAsia="zh-CN"/>
                    </w:rPr>
                    <w:t>15m高</w:t>
                  </w:r>
                  <w:r>
                    <w:rPr>
                      <w:rFonts w:hint="eastAsia" w:cs="Times New Roman"/>
                      <w:b w:val="0"/>
                      <w:bCs w:val="0"/>
                      <w:color w:val="auto"/>
                      <w:spacing w:val="0"/>
                      <w:sz w:val="21"/>
                      <w:szCs w:val="21"/>
                      <w:vertAlign w:val="baseline"/>
                      <w:lang w:val="en-US" w:eastAsia="zh-CN"/>
                    </w:rPr>
                    <w:t>排气筒</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99</w:t>
                  </w:r>
                  <w:r>
                    <w:rPr>
                      <w:rFonts w:hint="eastAsia" w:cs="Times New Roman"/>
                      <w:b w:val="0"/>
                      <w:bCs w:val="0"/>
                      <w:i w:val="0"/>
                      <w:iCs w:val="0"/>
                      <w:color w:val="auto"/>
                      <w:spacing w:val="0"/>
                      <w:kern w:val="0"/>
                      <w:sz w:val="21"/>
                      <w:szCs w:val="21"/>
                      <w:lang w:val="en-US" w:eastAsia="zh-CN"/>
                    </w:rPr>
                    <w:t>.7</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0.152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13.954 </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0.073 </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二氧化硫</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0.211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19.286 </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0.101 </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0.211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19.286 </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0.101 </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氮氧化物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1.966 </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180.000 </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1.966 </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180.000 </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eastAsia" w:ascii="Times New Roman" w:hAnsi="Times New Roman" w:eastAsia="宋体" w:cs="Times New Roman"/>
                      <w:b w:val="0"/>
                      <w:bCs w:val="0"/>
                      <w:i w:val="0"/>
                      <w:iCs w:val="0"/>
                      <w:color w:val="auto"/>
                      <w:spacing w:val="0"/>
                      <w:kern w:val="2"/>
                      <w:sz w:val="21"/>
                      <w:szCs w:val="21"/>
                      <w:vertAlign w:val="baseline"/>
                      <w:lang w:val="en-US" w:eastAsia="zh-CN" w:bidi="ar-SA"/>
                    </w:rPr>
                    <w:t>烟气黑度</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96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1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8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74"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bl>
          <w:p>
            <w:pPr>
              <w:keepLines w:val="0"/>
              <w:pageBreakBefore w:val="0"/>
              <w:numPr>
                <w:ilvl w:val="0"/>
                <w:numId w:val="0"/>
              </w:numPr>
              <w:tabs>
                <w:tab w:val="left" w:pos="1291"/>
              </w:tabs>
              <w:topLinePunct w:val="0"/>
              <w:bidi w:val="0"/>
              <w:spacing w:beforeAutospacing="0" w:afterAutospacing="0" w:line="360" w:lineRule="auto"/>
              <w:ind w:left="0" w:leftChars="0" w:right="0" w:rightChars="0" w:firstLine="480" w:firstLineChars="200"/>
              <w:jc w:val="left"/>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非正常工况排污</w:t>
            </w:r>
          </w:p>
          <w:p>
            <w:pPr>
              <w:pStyle w:val="61"/>
              <w:keepLines w:val="0"/>
              <w:pageBreakBefore w:val="0"/>
              <w:topLinePunct w:val="0"/>
              <w:bidi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若项目热风炉配套的布袋除尘器发生故障，会导致除尘效率下降为</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，颗粒物</w:t>
            </w:r>
            <w:r>
              <w:rPr>
                <w:rFonts w:hint="eastAsia" w:cs="Times New Roman"/>
                <w:color w:val="auto"/>
                <w:sz w:val="24"/>
                <w:szCs w:val="24"/>
                <w:lang w:val="en-US" w:eastAsia="zh-CN"/>
              </w:rPr>
              <w:t>排放</w:t>
            </w:r>
            <w:r>
              <w:rPr>
                <w:rFonts w:hint="default" w:ascii="Times New Roman" w:hAnsi="Times New Roman" w:eastAsia="宋体" w:cs="Times New Roman"/>
                <w:color w:val="auto"/>
                <w:sz w:val="24"/>
                <w:szCs w:val="24"/>
              </w:rPr>
              <w:t>量为</w:t>
            </w:r>
            <w:r>
              <w:rPr>
                <w:rFonts w:hint="eastAsia" w:cs="Times New Roman"/>
                <w:color w:val="auto"/>
                <w:sz w:val="24"/>
                <w:szCs w:val="24"/>
                <w:lang w:val="en-US" w:eastAsia="zh-CN"/>
              </w:rPr>
              <w:t>19.047</w:t>
            </w:r>
            <w:r>
              <w:rPr>
                <w:rFonts w:hint="default" w:ascii="Times New Roman" w:hAnsi="Times New Roman" w:cs="Times New Roman"/>
                <w:color w:val="auto"/>
                <w:sz w:val="24"/>
                <w:szCs w:val="24"/>
                <w:lang w:val="en-US" w:eastAsia="zh-CN"/>
              </w:rPr>
              <w:t>kg/h</w:t>
            </w:r>
            <w:r>
              <w:rPr>
                <w:rFonts w:hint="default" w:ascii="Times New Roman" w:hAnsi="Times New Roman" w:eastAsia="宋体" w:cs="Times New Roman"/>
                <w:color w:val="auto"/>
                <w:sz w:val="24"/>
                <w:szCs w:val="24"/>
              </w:rPr>
              <w:t>。若发生非正常工况时，企业做停产处理</w:t>
            </w:r>
            <w:r>
              <w:rPr>
                <w:rFonts w:hint="eastAsia" w:cs="Times New Roman"/>
                <w:color w:val="auto"/>
                <w:sz w:val="24"/>
                <w:szCs w:val="24"/>
                <w:lang w:eastAsia="zh-CN"/>
              </w:rPr>
              <w:t>，</w:t>
            </w:r>
            <w:r>
              <w:rPr>
                <w:rFonts w:hint="eastAsia" w:cs="Times New Roman"/>
                <w:color w:val="auto"/>
                <w:sz w:val="24"/>
                <w:szCs w:val="24"/>
                <w:lang w:val="en-US" w:eastAsia="zh-CN"/>
              </w:rPr>
              <w:t>恢复正常后重新运行。</w:t>
            </w:r>
            <w:r>
              <w:rPr>
                <w:rFonts w:hint="default" w:ascii="Times New Roman" w:hAnsi="Times New Roman" w:eastAsia="宋体" w:cs="Times New Roman"/>
                <w:color w:val="auto"/>
                <w:sz w:val="24"/>
                <w:szCs w:val="24"/>
                <w:lang w:val="en-US" w:eastAsia="zh-CN"/>
              </w:rPr>
              <w:t>非正常工况下废气污染源强核算结果及相关参数</w:t>
            </w:r>
            <w:r>
              <w:rPr>
                <w:rFonts w:hint="eastAsia" w:cs="Times New Roman"/>
                <w:color w:val="auto"/>
                <w:sz w:val="24"/>
                <w:szCs w:val="24"/>
                <w:lang w:val="en-US" w:eastAsia="zh-CN"/>
              </w:rPr>
              <w:t>见</w:t>
            </w: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4-3</w:t>
            </w:r>
            <w:r>
              <w:rPr>
                <w:rFonts w:hint="default" w:ascii="Times New Roman" w:hAnsi="Times New Roman" w:eastAsia="宋体" w:cs="Times New Roman"/>
                <w:color w:val="auto"/>
                <w:sz w:val="24"/>
                <w:szCs w:val="24"/>
                <w:lang w:eastAsia="zh-CN"/>
              </w:rPr>
              <w:t>。</w:t>
            </w:r>
          </w:p>
          <w:p>
            <w:pPr>
              <w:pStyle w:val="96"/>
              <w:keepLines w:val="0"/>
              <w:pageBreakBefore w:val="0"/>
              <w:topLinePunct w:val="0"/>
              <w:bidi w:val="0"/>
              <w:adjustRightInd w:val="0"/>
              <w:snapToGrid w:val="0"/>
              <w:spacing w:beforeAutospacing="0" w:afterAutospacing="0" w:line="360" w:lineRule="auto"/>
              <w:ind w:left="0" w:leftChars="0" w:right="0" w:rightChars="0" w:firstLine="422" w:firstLineChars="200"/>
              <w:rPr>
                <w:rFonts w:hint="default" w:ascii="Times New Roman" w:hAnsi="Times New Roman" w:cs="Times New Roman" w:eastAsiaTheme="minorEastAsia"/>
                <w:b/>
                <w:bCs/>
                <w:color w:val="auto"/>
                <w:kern w:val="2"/>
                <w:sz w:val="21"/>
                <w:szCs w:val="24"/>
                <w:highlight w:val="none"/>
                <w:lang w:val="en-US" w:eastAsia="zh-CN" w:bidi="ar-SA"/>
              </w:rPr>
            </w:pPr>
            <w:r>
              <w:rPr>
                <w:rFonts w:hint="default" w:ascii="Times New Roman" w:hAnsi="Times New Roman" w:cs="Times New Roman" w:eastAsiaTheme="minorEastAsia"/>
                <w:b/>
                <w:bCs/>
                <w:color w:val="auto"/>
                <w:kern w:val="2"/>
                <w:sz w:val="21"/>
                <w:szCs w:val="24"/>
                <w:highlight w:val="none"/>
                <w:lang w:val="en-US" w:eastAsia="zh-CN" w:bidi="ar-SA"/>
              </w:rPr>
              <w:t>表4-</w:t>
            </w:r>
            <w:r>
              <w:rPr>
                <w:rFonts w:hint="eastAsia" w:ascii="Times New Roman" w:hAnsi="Times New Roman" w:cs="Times New Roman" w:eastAsiaTheme="minorEastAsia"/>
                <w:b/>
                <w:bCs/>
                <w:color w:val="auto"/>
                <w:kern w:val="2"/>
                <w:sz w:val="21"/>
                <w:szCs w:val="24"/>
                <w:highlight w:val="none"/>
                <w:lang w:val="en-US" w:eastAsia="zh-CN" w:bidi="ar-SA"/>
              </w:rPr>
              <w:t>3</w:t>
            </w:r>
            <w:r>
              <w:rPr>
                <w:rFonts w:hint="default" w:ascii="Times New Roman" w:hAnsi="Times New Roman" w:cs="Times New Roman" w:eastAsiaTheme="minorEastAsia"/>
                <w:b/>
                <w:bCs/>
                <w:color w:val="auto"/>
                <w:kern w:val="2"/>
                <w:sz w:val="21"/>
                <w:szCs w:val="24"/>
                <w:highlight w:val="none"/>
                <w:lang w:val="en-US" w:eastAsia="zh-CN" w:bidi="ar-SA"/>
              </w:rPr>
              <w:t xml:space="preserve">  非正常工况下废气污染源强核算结果及相关参数一览表</w:t>
            </w:r>
          </w:p>
          <w:tbl>
            <w:tblPr>
              <w:tblStyle w:val="30"/>
              <w:tblW w:w="866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654"/>
              <w:gridCol w:w="1194"/>
              <w:gridCol w:w="546"/>
              <w:gridCol w:w="1483"/>
              <w:gridCol w:w="1414"/>
              <w:gridCol w:w="954"/>
              <w:gridCol w:w="898"/>
              <w:gridCol w:w="10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非正常排放原因</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1483"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非正常排放浓度/（</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rPr>
                    <w:t>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41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非正常排放速率/（kg/h）</w:t>
                  </w:r>
                </w:p>
              </w:tc>
              <w:tc>
                <w:tcPr>
                  <w:tcW w:w="9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单次持续时间/h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年发生频次/次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应对</w:t>
                  </w:r>
                </w:p>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热风炉</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布袋除尘器布袋破损</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烟尘</w:t>
                  </w:r>
                </w:p>
              </w:tc>
              <w:tc>
                <w:tcPr>
                  <w:tcW w:w="1483"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2325.648</w:t>
                  </w:r>
                </w:p>
              </w:tc>
              <w:tc>
                <w:tcPr>
                  <w:tcW w:w="141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0.396</w:t>
                  </w:r>
                </w:p>
              </w:tc>
              <w:tc>
                <w:tcPr>
                  <w:tcW w:w="9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停止生产及时检修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2、</w:t>
            </w:r>
            <w:r>
              <w:rPr>
                <w:rFonts w:hint="default" w:ascii="Times New Roman" w:hAnsi="Times New Roman" w:eastAsia="宋体" w:cs="Times New Roman"/>
                <w:bCs/>
                <w:color w:val="auto"/>
                <w:spacing w:val="-10"/>
                <w:sz w:val="24"/>
                <w:szCs w:val="24"/>
                <w:lang w:val="en-US" w:eastAsia="zh-CN"/>
              </w:rPr>
              <w:t>治理设施</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运输车辆装卸区设置遮挡设施，清选工艺采用封闭式清理筛，可使颗粒物无组织排放量减少90%。</w:t>
            </w:r>
            <w:r>
              <w:rPr>
                <w:rFonts w:hint="eastAsia" w:ascii="Times New Roman" w:hAnsi="Times New Roman" w:cs="Times New Roman"/>
                <w:color w:val="auto"/>
                <w:sz w:val="24"/>
                <w:szCs w:val="24"/>
                <w:lang w:val="en-US" w:eastAsia="zh-CN"/>
              </w:rPr>
              <w:t>烘干塔体两侧排气孔设置折流挡板，有效控制杂质及大粒径粉尘的排放。</w:t>
            </w:r>
            <w:r>
              <w:rPr>
                <w:rFonts w:hint="default" w:ascii="Times New Roman" w:hAnsi="Times New Roman" w:cs="Times New Roman"/>
                <w:color w:val="auto"/>
                <w:sz w:val="24"/>
                <w:szCs w:val="24"/>
                <w:lang w:val="en-US" w:eastAsia="zh-CN"/>
              </w:rPr>
              <w:t>上述大气污染防治措施均为</w:t>
            </w:r>
            <w:r>
              <w:rPr>
                <w:rFonts w:hint="default" w:ascii="Times New Roman" w:hAnsi="Times New Roman" w:eastAsia="宋体" w:cs="Times New Roman"/>
                <w:bCs/>
                <w:color w:val="auto"/>
                <w:spacing w:val="-10"/>
                <w:sz w:val="24"/>
                <w:szCs w:val="24"/>
                <w:lang w:val="en-US" w:eastAsia="zh-CN"/>
              </w:rPr>
              <w:t>《逸散性工业粉尘控制技术（中国环境科学出版社）》中推荐的治理措施，为比较常见的、应用广泛且技术相对成熟的无组织废气治理措施。对照《排污许可证申请与核发技术规范 工业炉窑》(HJ1121-2020)</w:t>
            </w:r>
            <w:r>
              <w:rPr>
                <w:rFonts w:hint="eastAsia" w:ascii="Times New Roman" w:hAnsi="Times New Roman" w:eastAsia="宋体" w:cs="Times New Roman"/>
                <w:bCs/>
                <w:color w:val="auto"/>
                <w:spacing w:val="-10"/>
                <w:sz w:val="24"/>
                <w:szCs w:val="24"/>
                <w:lang w:val="en-US" w:eastAsia="zh-CN"/>
              </w:rPr>
              <w:t>，物料储存，输送采取密闭措施为可行性技术，本项目输送带封闭，装卸区设置遮挡，烘干塔两侧设置遮挡，为可行性技术。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配设1台布袋除尘器，热风炉烟气经布袋除尘器净化处理后由15m高烟囱排放。热风炉燃用生物质压块燃料，燃料中含硫量较低，烟气中二氧化硫浓度较低，因此，本项目未设置脱硫设施。对照《排污许可证申请与核发技术规范 工业炉窑》(HJ1121-2020)附录A，工业窑炉废气中颗粒物污染治理可行技术为燃气或净化后煤制气、袋式除尘、静电除尘，本项目的特点为窑炉设施规模较小、烟气中颗粒物浓度较高，袋式除尘除尘效率高，且适用于小型规模窑炉设施，为本项目最佳窑炉烟气除尘技术选择。</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（3）排放口基本信息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本项目排放口情况见下表：</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表4-4排气口基本情况一览表</w:t>
            </w:r>
          </w:p>
          <w:tbl>
            <w:tblPr>
              <w:tblStyle w:val="31"/>
              <w:tblW w:w="86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9"/>
              <w:gridCol w:w="948"/>
              <w:gridCol w:w="953"/>
              <w:gridCol w:w="862"/>
              <w:gridCol w:w="862"/>
              <w:gridCol w:w="862"/>
              <w:gridCol w:w="862"/>
              <w:gridCol w:w="862"/>
              <w:gridCol w:w="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编号</w:t>
                  </w:r>
                </w:p>
              </w:tc>
              <w:tc>
                <w:tcPr>
                  <w:tcW w:w="87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名称</w:t>
                  </w:r>
                </w:p>
              </w:tc>
              <w:tc>
                <w:tcPr>
                  <w:tcW w:w="19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排气筒底部中心坐标</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排气筒高度（m）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排气筒出口</w:t>
                  </w:r>
                  <w:r>
                    <w:rPr>
                      <w:rFonts w:hint="eastAsia" w:cs="Times New Roman"/>
                      <w:b w:val="0"/>
                      <w:bCs w:val="0"/>
                      <w:i w:val="0"/>
                      <w:iCs w:val="0"/>
                      <w:color w:val="auto"/>
                      <w:spacing w:val="0"/>
                      <w:kern w:val="0"/>
                      <w:sz w:val="21"/>
                      <w:szCs w:val="21"/>
                      <w:lang w:val="en-US" w:eastAsia="zh-CN"/>
                    </w:rPr>
                    <w:t>内径</w:t>
                  </w:r>
                  <w:r>
                    <w:rPr>
                      <w:rFonts w:hint="default" w:ascii="Times New Roman" w:hAnsi="Times New Roman" w:eastAsia="宋体" w:cs="Times New Roman"/>
                      <w:b w:val="0"/>
                      <w:bCs w:val="0"/>
                      <w:i w:val="0"/>
                      <w:iCs w:val="0"/>
                      <w:color w:val="auto"/>
                      <w:spacing w:val="0"/>
                      <w:kern w:val="0"/>
                      <w:sz w:val="21"/>
                      <w:szCs w:val="21"/>
                      <w:lang w:val="en-US" w:eastAsia="zh-CN"/>
                    </w:rPr>
                    <w:t>（m）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烟气流速（m/s）</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烟气温度（℃）</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年排放小时数（h）</w:t>
                  </w:r>
                </w:p>
              </w:tc>
              <w:tc>
                <w:tcPr>
                  <w:tcW w:w="8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排放工况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7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经度</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纬度</w:t>
                  </w: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DA</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001</w:t>
                  </w:r>
                </w:p>
              </w:tc>
              <w:tc>
                <w:tcPr>
                  <w:tcW w:w="8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热风炉烟囱</w:t>
                  </w: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olor w:val="auto"/>
                    </w:rPr>
                    <w:t>130.29835582</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olor w:val="auto"/>
                    </w:rPr>
                    <w:t>48.65965566</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15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w:t>
                  </w:r>
                  <w:r>
                    <w:rPr>
                      <w:rFonts w:hint="eastAsia" w:cs="Times New Roman"/>
                      <w:b w:val="0"/>
                      <w:bCs w:val="0"/>
                      <w:i w:val="0"/>
                      <w:iCs w:val="0"/>
                      <w:color w:val="auto"/>
                      <w:spacing w:val="0"/>
                      <w:kern w:val="0"/>
                      <w:sz w:val="21"/>
                      <w:szCs w:val="21"/>
                      <w:lang w:val="en-US" w:eastAsia="zh-CN"/>
                    </w:rPr>
                    <w:t>4</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24.15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w:t>
                  </w:r>
                  <w:r>
                    <w:rPr>
                      <w:rFonts w:hint="default" w:ascii="Times New Roman" w:hAnsi="Times New Roman" w:eastAsia="宋体" w:cs="Times New Roman"/>
                      <w:b w:val="0"/>
                      <w:bCs w:val="0"/>
                      <w:i w:val="0"/>
                      <w:iCs w:val="0"/>
                      <w:color w:val="auto"/>
                      <w:spacing w:val="0"/>
                      <w:kern w:val="0"/>
                      <w:sz w:val="21"/>
                      <w:szCs w:val="21"/>
                      <w:lang w:val="en-US" w:eastAsia="zh-CN"/>
                    </w:rPr>
                    <w:t>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480</w:t>
                  </w:r>
                </w:p>
              </w:tc>
              <w:tc>
                <w:tcPr>
                  <w:tcW w:w="8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正常</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u w:val="none" w:color="000000"/>
                <w:lang w:val="en-US" w:eastAsia="zh-CN" w:bidi="ar-SA"/>
              </w:rPr>
            </w:pPr>
            <w:r>
              <w:rPr>
                <w:rFonts w:hint="eastAsia" w:ascii="Times New Roman" w:hAnsi="Times New Roman" w:eastAsia="宋体" w:cs="Times New Roman"/>
                <w:color w:val="auto"/>
                <w:kern w:val="0"/>
                <w:sz w:val="24"/>
                <w:szCs w:val="24"/>
                <w:highlight w:val="none"/>
                <w:u w:val="none" w:color="000000"/>
                <w:lang w:val="en-US" w:eastAsia="zh-CN" w:bidi="ar-SA"/>
              </w:rPr>
              <w:t>项目排气筒高度设置合理性分析：</w:t>
            </w:r>
          </w:p>
          <w:p>
            <w:p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szCs w:val="24"/>
                <w:highlight w:val="none"/>
                <w:u w:val="none" w:color="000000"/>
                <w:lang w:val="en-US" w:eastAsia="zh-CN" w:bidi="ar-SA"/>
              </w:rPr>
              <w:t>根据</w:t>
            </w:r>
            <w:r>
              <w:rPr>
                <w:rFonts w:hint="default" w:ascii="Times New Roman" w:hAnsi="Times New Roman" w:eastAsia="宋体" w:cs="Times New Roman"/>
                <w:color w:val="auto"/>
                <w:kern w:val="0"/>
                <w:sz w:val="24"/>
                <w:szCs w:val="24"/>
                <w:highlight w:val="none"/>
                <w:u w:val="none" w:color="000000"/>
                <w:lang w:val="en-US" w:eastAsia="zh-CN" w:bidi="ar-SA"/>
              </w:rPr>
              <w:t>《工业炉窑大气污染物排放标准》（GB9078-1996）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要求，工业炉窑烟囱最低允许高度为15m，当烟囱(或排气</w:t>
            </w:r>
            <w:r>
              <w:rPr>
                <w:rFonts w:hint="eastAsia" w:cs="Times New Roman"/>
                <w:color w:val="auto"/>
                <w:kern w:val="0"/>
                <w:sz w:val="24"/>
                <w:szCs w:val="24"/>
                <w:highlight w:val="none"/>
                <w:u w:val="none" w:color="000000"/>
                <w:lang w:val="en-US" w:eastAsia="zh-CN" w:bidi="ar-SA"/>
              </w:rPr>
              <w:t>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)周围半径200m距离内有建筑物时，应高出最高建筑物3m以上，本项目排气筒高度15m，周边200米范围内无12m以上建筑，因此本项目符合排气筒设置规范。</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（4）排放标准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color w:val="auto"/>
                <w:sz w:val="24"/>
                <w:szCs w:val="24"/>
                <w:lang w:val="en-US" w:eastAsia="zh-CN"/>
              </w:rPr>
              <w:t>本项目运营期颗粒物无组织排放执行《大气污染物综合排放标准》（GB16297-1996）表2中无组织排放浓度监控限值要求</w:t>
            </w:r>
            <w:r>
              <w:rPr>
                <w:rFonts w:hint="eastAsia" w:cs="Times New Roman"/>
                <w:color w:val="auto"/>
                <w:sz w:val="24"/>
                <w:szCs w:val="24"/>
                <w:lang w:val="en-US" w:eastAsia="zh-CN"/>
              </w:rPr>
              <w:t>，工业炉窑周边无组织废气执行</w:t>
            </w:r>
            <w:r>
              <w:rPr>
                <w:rFonts w:hint="default" w:ascii="Times New Roman" w:hAnsi="Times New Roman" w:eastAsia="宋体" w:cs="Times New Roman"/>
                <w:color w:val="auto"/>
                <w:sz w:val="24"/>
                <w:szCs w:val="24"/>
                <w:lang w:val="en-US" w:eastAsia="zh-CN"/>
              </w:rPr>
              <w:t>《工业炉窑大气污染物排放标准》（GB9078-1996）中</w:t>
            </w:r>
            <w:r>
              <w:rPr>
                <w:rFonts w:hint="eastAsia" w:ascii="Times New Roman" w:hAnsi="Times New Roman" w:eastAsia="宋体" w:cs="Times New Roman"/>
                <w:color w:val="auto"/>
                <w:sz w:val="24"/>
                <w:szCs w:val="24"/>
                <w:lang w:val="en-US" w:eastAsia="zh-CN"/>
              </w:rPr>
              <w:t>表3排放标准，</w:t>
            </w:r>
            <w:r>
              <w:rPr>
                <w:rFonts w:hint="default" w:ascii="Times New Roman" w:hAnsi="Times New Roman" w:eastAsia="宋体" w:cs="Times New Roman"/>
                <w:color w:val="auto"/>
                <w:sz w:val="24"/>
                <w:szCs w:val="24"/>
                <w:lang w:val="en-US" w:eastAsia="zh-CN"/>
              </w:rPr>
              <w:t>热风炉烟气中颗粒物、烟气黑度、二氧化硫有组织排放执行《工业炉窑大气污染物排放标准》（GB9078-1996）中表2和表4二级标准</w:t>
            </w:r>
            <w:r>
              <w:rPr>
                <w:rFonts w:hint="default" w:ascii="Times New Roman" w:hAnsi="Times New Roman" w:eastAsia="宋体" w:cs="Times New Roman"/>
                <w:color w:val="auto"/>
                <w:lang w:val="en-US" w:eastAsia="zh-CN"/>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lang w:val="en-US" w:eastAsia="zh-CN"/>
              </w:rPr>
              <w:t>本项目运营期大气污染源监测要求对照</w:t>
            </w:r>
            <w:r>
              <w:rPr>
                <w:rFonts w:hint="eastAsia" w:ascii="Times New Roman" w:hAnsi="Times New Roman" w:eastAsia="宋体" w:cs="Times New Roman"/>
                <w:bCs/>
                <w:color w:val="auto"/>
                <w:spacing w:val="-10"/>
                <w:sz w:val="24"/>
                <w:szCs w:val="24"/>
                <w:lang w:val="en-US" w:eastAsia="zh-CN"/>
              </w:rPr>
              <w:t>《排污单位自行监测技术指南 总则》（HJ 819-2017）、</w:t>
            </w:r>
            <w:r>
              <w:rPr>
                <w:rFonts w:hint="default" w:ascii="Times New Roman" w:hAnsi="Times New Roman" w:eastAsia="宋体" w:cs="Times New Roman"/>
                <w:bCs/>
                <w:color w:val="auto"/>
                <w:spacing w:val="-10"/>
                <w:sz w:val="24"/>
                <w:szCs w:val="24"/>
                <w:lang w:val="en-US" w:eastAsia="zh-CN"/>
              </w:rPr>
              <w:t>《排污许可证申请与核发技术规范 工业窑炉》（HJ1121-2020）</w:t>
            </w:r>
            <w:r>
              <w:rPr>
                <w:rFonts w:hint="eastAsia" w:ascii="Times New Roman" w:hAnsi="Times New Roman" w:eastAsia="宋体" w:cs="Times New Roman"/>
                <w:bCs/>
                <w:color w:val="auto"/>
                <w:spacing w:val="-10"/>
                <w:sz w:val="24"/>
                <w:szCs w:val="24"/>
                <w:lang w:val="en-US" w:eastAsia="zh-CN"/>
              </w:rPr>
              <w:t>、《</w:t>
            </w:r>
            <w:r>
              <w:rPr>
                <w:rFonts w:hint="eastAsia" w:ascii="Times New Roman" w:hAnsi="Times New Roman" w:eastAsia="宋体" w:cs="Times New Roman"/>
                <w:bCs/>
                <w:color w:val="auto"/>
                <w:spacing w:val="-10"/>
                <w:sz w:val="24"/>
                <w:szCs w:val="24"/>
                <w:lang w:val="en-US" w:eastAsia="zh-CN"/>
              </w:rPr>
              <w:fldChar w:fldCharType="begin"/>
            </w:r>
            <w:r>
              <w:rPr>
                <w:rFonts w:hint="eastAsia" w:ascii="Times New Roman" w:hAnsi="Times New Roman" w:eastAsia="宋体" w:cs="Times New Roman"/>
                <w:bCs/>
                <w:color w:val="auto"/>
                <w:spacing w:val="-10"/>
                <w:sz w:val="24"/>
                <w:szCs w:val="24"/>
                <w:lang w:val="en-US" w:eastAsia="zh-CN"/>
              </w:rPr>
              <w:instrText xml:space="preserve"> HYPERLINK "http://kjs.mep.gov.cn/hjbhbz/bzwb/shjbh/xgbzh/201705/W020170511332490849000.pdf" </w:instrText>
            </w:r>
            <w:r>
              <w:rPr>
                <w:rFonts w:hint="eastAsia" w:ascii="Times New Roman" w:hAnsi="Times New Roman" w:eastAsia="宋体" w:cs="Times New Roman"/>
                <w:bCs/>
                <w:color w:val="auto"/>
                <w:spacing w:val="-10"/>
                <w:sz w:val="24"/>
                <w:szCs w:val="24"/>
                <w:lang w:val="en-US" w:eastAsia="zh-CN"/>
              </w:rPr>
              <w:fldChar w:fldCharType="separate"/>
            </w:r>
            <w:r>
              <w:rPr>
                <w:rFonts w:hint="eastAsia" w:ascii="Times New Roman" w:hAnsi="Times New Roman" w:eastAsia="宋体" w:cs="Times New Roman"/>
                <w:bCs/>
                <w:color w:val="auto"/>
                <w:spacing w:val="-10"/>
                <w:sz w:val="24"/>
                <w:szCs w:val="24"/>
                <w:lang w:val="en-US" w:eastAsia="zh-CN"/>
              </w:rPr>
              <w:t>排污单位自行监测技术指南 农副食品加工业》（HJ986-2018）</w:t>
            </w:r>
            <w:r>
              <w:rPr>
                <w:rFonts w:hint="eastAsia" w:ascii="Times New Roman" w:hAnsi="Times New Roman" w:eastAsia="宋体" w:cs="Times New Roman"/>
                <w:bCs/>
                <w:color w:val="auto"/>
                <w:spacing w:val="-10"/>
                <w:sz w:val="24"/>
                <w:szCs w:val="24"/>
                <w:lang w:val="en-US" w:eastAsia="zh-CN"/>
              </w:rPr>
              <w:fldChar w:fldCharType="end"/>
            </w:r>
            <w:r>
              <w:rPr>
                <w:rFonts w:hint="default" w:ascii="Times New Roman" w:hAnsi="Times New Roman" w:eastAsia="宋体" w:cs="Times New Roman"/>
                <w:bCs/>
                <w:color w:val="auto"/>
                <w:spacing w:val="-10"/>
                <w:sz w:val="24"/>
                <w:szCs w:val="24"/>
                <w:lang w:val="en-US" w:eastAsia="zh-CN"/>
              </w:rPr>
              <w:t>中“5.4 自行监测管理要求”执行。</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表4-5大气污染源监测要求信息表</w:t>
            </w:r>
          </w:p>
          <w:tbl>
            <w:tblPr>
              <w:tblStyle w:val="30"/>
              <w:tblW w:w="86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924"/>
              <w:gridCol w:w="3362"/>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污染源名称</w:t>
                  </w:r>
                </w:p>
              </w:tc>
              <w:tc>
                <w:tcPr>
                  <w:tcW w:w="1924"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监测点位</w:t>
                  </w:r>
                </w:p>
              </w:tc>
              <w:tc>
                <w:tcPr>
                  <w:tcW w:w="336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监测因子</w:t>
                  </w:r>
                </w:p>
              </w:tc>
              <w:tc>
                <w:tcPr>
                  <w:tcW w:w="121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21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DA001</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热风炉烟囱</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（有组织排放源）</w:t>
                  </w:r>
                </w:p>
              </w:tc>
              <w:tc>
                <w:tcPr>
                  <w:tcW w:w="1924"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烟囱预留监测孔</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颗粒物、二氧化硫</w:t>
                  </w:r>
                </w:p>
              </w:tc>
              <w:tc>
                <w:tcPr>
                  <w:tcW w:w="121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氮氧化物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每月运行期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烟囱出口</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烟气黑度</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ascii="Times New Roman" w:hAnsi="Times New Roman" w:eastAsia="宋体" w:cs="Times New Roman"/>
                      <w:caps w:val="0"/>
                      <w:snapToGrid w:val="0"/>
                      <w:color w:val="auto"/>
                      <w:kern w:val="0"/>
                      <w:sz w:val="21"/>
                      <w:szCs w:val="21"/>
                      <w:highlight w:val="none"/>
                      <w:lang w:val="en-US" w:eastAsia="zh-CN"/>
                    </w:rPr>
                    <w:t>无组织排放源</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bCs/>
                      <w:color w:val="auto"/>
                      <w:spacing w:val="-10"/>
                      <w:szCs w:val="21"/>
                      <w:lang w:val="en-US" w:eastAsia="zh-CN"/>
                    </w:rPr>
                    <w:t>厂区各边界（共4个监测点）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工业炉窑周边</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一个监测点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（6）达标排放</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表4-6大气污染物有组织排达标情况表</w:t>
            </w:r>
          </w:p>
          <w:tbl>
            <w:tblPr>
              <w:tblStyle w:val="31"/>
              <w:tblW w:w="866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657"/>
              <w:gridCol w:w="851"/>
              <w:gridCol w:w="852"/>
              <w:gridCol w:w="1528"/>
              <w:gridCol w:w="1529"/>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2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16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1703"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377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851"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lang w:val="en-US" w:eastAsia="zh-CN"/>
                    </w:rPr>
                    <w:t>浓度（</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852"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排放速率（kg/h）</w:t>
                  </w:r>
                </w:p>
              </w:tc>
              <w:tc>
                <w:tcPr>
                  <w:tcW w:w="305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rPr>
                    <w:t>《工业炉窑大气污染物排放标准》（GB9078-1996）</w:t>
                  </w:r>
                </w:p>
              </w:tc>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是否</w:t>
                  </w:r>
                  <w:r>
                    <w:rPr>
                      <w:rFonts w:hint="default" w:ascii="Times New Roman" w:hAnsi="Times New Roman" w:eastAsia="宋体" w:cs="Times New Roman"/>
                      <w:b w:val="0"/>
                      <w:bCs w:val="0"/>
                      <w:i w:val="0"/>
                      <w:iCs w:val="0"/>
                      <w:color w:val="auto"/>
                      <w:spacing w:val="0"/>
                      <w:sz w:val="21"/>
                      <w:szCs w:val="21"/>
                      <w:vertAlign w:val="baseline"/>
                      <w:lang w:eastAsia="zh-CN"/>
                    </w:rPr>
                    <w:t>达标</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851"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0"/>
                      <w:sz w:val="21"/>
                      <w:szCs w:val="21"/>
                      <w:lang w:val="en-US" w:eastAsia="zh-CN" w:bidi="ar-SA"/>
                    </w:rPr>
                  </w:pPr>
                </w:p>
              </w:tc>
              <w:tc>
                <w:tcPr>
                  <w:tcW w:w="852"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0"/>
                      <w:sz w:val="21"/>
                      <w:szCs w:val="21"/>
                      <w:lang w:val="en-US" w:eastAsia="zh-CN" w:bidi="ar-SA"/>
                    </w:rPr>
                  </w:pP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排放限值</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29" w:type="dxa"/>
                  <w:tcBorders>
                    <w:tl2br w:val="nil"/>
                    <w:tr2bl w:val="nil"/>
                  </w:tcBorders>
                  <w:shd w:val="clear" w:color="auto" w:fill="auto"/>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rPr>
                    <w:t>排放速率（kg/h）</w:t>
                  </w:r>
                </w:p>
              </w:tc>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525"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DA001</w:t>
                  </w:r>
                </w:p>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热风炉烟囱</w:t>
                  </w: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颗粒物（烟尘）</w:t>
                  </w:r>
                </w:p>
              </w:tc>
              <w:tc>
                <w:tcPr>
                  <w:tcW w:w="8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13.954 </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200</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二氧化硫</w:t>
                  </w:r>
                </w:p>
              </w:tc>
              <w:tc>
                <w:tcPr>
                  <w:tcW w:w="8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19.286 </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850</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烟气黑度</w:t>
                  </w:r>
                </w:p>
              </w:tc>
              <w:tc>
                <w:tcPr>
                  <w:tcW w:w="85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&lt;1级</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sz w:val="21"/>
                      <w:szCs w:val="21"/>
                      <w:vertAlign w:val="baseline"/>
                      <w:lang w:val="en-US" w:eastAsia="zh-CN"/>
                    </w:rPr>
                    <w:t>&lt;1级</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氮氧化物</w:t>
                  </w:r>
                </w:p>
              </w:tc>
              <w:tc>
                <w:tcPr>
                  <w:tcW w:w="85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180</w:t>
                  </w:r>
                </w:p>
              </w:tc>
              <w:tc>
                <w:tcPr>
                  <w:tcW w:w="85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w:t>
                  </w:r>
                </w:p>
              </w:tc>
              <w:tc>
                <w:tcPr>
                  <w:tcW w:w="1528"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152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本项目采取相应</w:t>
            </w:r>
            <w:r>
              <w:rPr>
                <w:rFonts w:hint="default" w:ascii="Times New Roman" w:hAnsi="Times New Roman" w:cs="Times New Roman"/>
                <w:color w:val="auto"/>
                <w:sz w:val="24"/>
                <w:szCs w:val="24"/>
                <w:lang w:val="en-US" w:eastAsia="zh-CN"/>
              </w:rPr>
              <w:t>大气污染防治措施后，可有效降低颗粒物无组织排放量，厂界</w:t>
            </w:r>
            <w:r>
              <w:rPr>
                <w:rFonts w:hint="default" w:ascii="Times New Roman" w:hAnsi="Times New Roman" w:cs="Times New Roman"/>
                <w:color w:val="auto"/>
                <w:kern w:val="0"/>
                <w:sz w:val="24"/>
                <w:szCs w:val="24"/>
                <w:lang w:val="en-US" w:eastAsia="zh-CN"/>
              </w:rPr>
              <w:t>颗粒物无组织排放浓度能够满足</w:t>
            </w:r>
            <w:r>
              <w:rPr>
                <w:rFonts w:hint="default" w:ascii="Times New Roman" w:hAnsi="Times New Roman" w:cs="Times New Roman"/>
                <w:color w:val="auto"/>
                <w:kern w:val="0"/>
                <w:sz w:val="24"/>
                <w:szCs w:val="24"/>
                <w:vertAlign w:val="baseline"/>
                <w:lang w:val="en-US" w:eastAsia="zh-CN"/>
              </w:rPr>
              <w:t>《大气污染物综合排放标准》（GB16297-1996）表2中颗粒物无组织排放监测浓度限值要求。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本项目热风炉烟气经布袋除尘器处理后由15m高烟囱排放，颗粒物排放浓度、</w:t>
            </w:r>
            <w:r>
              <w:rPr>
                <w:rFonts w:hint="default" w:ascii="Times New Roman" w:hAnsi="Times New Roman" w:eastAsia="宋体" w:cs="Times New Roman"/>
                <w:color w:val="auto"/>
                <w:sz w:val="24"/>
                <w:szCs w:val="24"/>
                <w:lang w:val="en-US" w:eastAsia="zh-CN"/>
              </w:rPr>
              <w:t>烟气黑度、</w:t>
            </w:r>
            <w:r>
              <w:rPr>
                <w:rFonts w:hint="default" w:ascii="Times New Roman" w:hAnsi="Times New Roman" w:eastAsia="宋体" w:cs="Times New Roman"/>
                <w:bCs/>
                <w:color w:val="auto"/>
                <w:spacing w:val="-10"/>
                <w:sz w:val="24"/>
                <w:szCs w:val="24"/>
                <w:lang w:val="en-US" w:eastAsia="zh-CN"/>
              </w:rPr>
              <w:t>二氧化硫排放浓度可满足《工业炉窑大气污染物排放标准》（GB9078-1996）表2、表4中标准要求。</w:t>
            </w:r>
            <w:r>
              <w:rPr>
                <w:rFonts w:hint="eastAsia" w:cs="Times New Roman"/>
                <w:color w:val="auto"/>
                <w:sz w:val="24"/>
                <w:szCs w:val="24"/>
                <w:lang w:val="en-US" w:eastAsia="zh-CN"/>
              </w:rPr>
              <w:t>热风炉烟气中的氮氧化物有组织排放执行</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中无氮氧化物浓度限值</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综上所述，本项目有组织及无组织形式排放的</w:t>
            </w:r>
            <w:r>
              <w:rPr>
                <w:rFonts w:hint="eastAsia" w:cs="Times New Roman"/>
                <w:bCs/>
                <w:color w:val="auto"/>
                <w:spacing w:val="-10"/>
                <w:sz w:val="24"/>
                <w:szCs w:val="24"/>
                <w:lang w:val="en-US" w:eastAsia="zh-CN"/>
              </w:rPr>
              <w:t>废气</w:t>
            </w:r>
            <w:r>
              <w:rPr>
                <w:rFonts w:hint="default" w:ascii="Times New Roman" w:hAnsi="Times New Roman" w:eastAsia="宋体" w:cs="Times New Roman"/>
                <w:bCs/>
                <w:color w:val="auto"/>
                <w:spacing w:val="-10"/>
                <w:sz w:val="24"/>
                <w:szCs w:val="24"/>
                <w:lang w:val="en-US" w:eastAsia="zh-CN"/>
              </w:rPr>
              <w:t>均可达标排放，且排放量较小，不会</w:t>
            </w:r>
            <w:r>
              <w:rPr>
                <w:rFonts w:hint="eastAsia" w:cs="Times New Roman"/>
                <w:bCs/>
                <w:color w:val="auto"/>
                <w:spacing w:val="-10"/>
                <w:sz w:val="24"/>
                <w:szCs w:val="24"/>
                <w:lang w:val="en-US" w:eastAsia="zh-CN"/>
              </w:rPr>
              <w:t>对</w:t>
            </w:r>
            <w:r>
              <w:rPr>
                <w:rFonts w:hint="default" w:ascii="Times New Roman" w:hAnsi="Times New Roman" w:eastAsia="宋体" w:cs="Times New Roman"/>
                <w:bCs/>
                <w:color w:val="auto"/>
                <w:spacing w:val="-10"/>
                <w:sz w:val="24"/>
                <w:szCs w:val="24"/>
                <w:lang w:val="en-US" w:eastAsia="zh-CN"/>
              </w:rPr>
              <w:t>区域环境空气质量</w:t>
            </w:r>
            <w:r>
              <w:rPr>
                <w:rFonts w:hint="eastAsia" w:cs="Times New Roman"/>
                <w:bCs/>
                <w:color w:val="auto"/>
                <w:spacing w:val="-10"/>
                <w:sz w:val="24"/>
                <w:szCs w:val="24"/>
                <w:lang w:val="en-US" w:eastAsia="zh-CN"/>
              </w:rPr>
              <w:t>造成较大影响，</w:t>
            </w:r>
            <w:r>
              <w:rPr>
                <w:rFonts w:hint="default" w:ascii="Times New Roman" w:hAnsi="Times New Roman" w:eastAsia="宋体" w:cs="Times New Roman"/>
                <w:bCs/>
                <w:color w:val="auto"/>
                <w:spacing w:val="-10"/>
                <w:sz w:val="24"/>
                <w:szCs w:val="24"/>
                <w:lang w:val="en-US" w:eastAsia="zh-CN"/>
              </w:rPr>
              <w:t>可被大气环境所接受。</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本项目产生的废水为生活污水，产生量为</w:t>
            </w:r>
            <w:r>
              <w:rPr>
                <w:rFonts w:hint="eastAsia" w:cs="Times New Roman"/>
                <w:color w:val="auto"/>
                <w:kern w:val="0"/>
                <w:sz w:val="24"/>
                <w:szCs w:val="24"/>
                <w:highlight w:val="none"/>
                <w:lang w:val="en-US" w:eastAsia="zh-CN"/>
              </w:rPr>
              <w:t>0.448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8.96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eastAsia"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lang w:val="en-US" w:eastAsia="zh-CN"/>
              </w:rPr>
              <w:t>水污染物浓度为COD 300mg/L、BOD</w:t>
            </w:r>
            <w:r>
              <w:rPr>
                <w:rFonts w:hint="default" w:ascii="Times New Roman" w:hAnsi="Times New Roman" w:eastAsia="宋体" w:cs="Times New Roman"/>
                <w:color w:val="auto"/>
                <w:kern w:val="0"/>
                <w:sz w:val="24"/>
                <w:szCs w:val="24"/>
                <w:vertAlign w:val="subscript"/>
                <w:lang w:val="en-US" w:eastAsia="zh-CN"/>
              </w:rPr>
              <w:t>5</w:t>
            </w:r>
            <w:r>
              <w:rPr>
                <w:rFonts w:hint="default" w:ascii="Times New Roman" w:hAnsi="Times New Roman" w:eastAsia="宋体" w:cs="Times New Roman"/>
                <w:color w:val="auto"/>
                <w:kern w:val="0"/>
                <w:sz w:val="24"/>
                <w:szCs w:val="24"/>
                <w:lang w:val="en-US" w:eastAsia="zh-CN"/>
              </w:rPr>
              <w:t xml:space="preserve"> 150mg/L、氨氮 50mg/L、SS 120mg/L，</w:t>
            </w:r>
            <w:r>
              <w:rPr>
                <w:rFonts w:hint="eastAsia" w:ascii="Times New Roman" w:hAnsi="Times New Roman" w:eastAsia="宋体" w:cs="Times New Roman"/>
                <w:color w:val="auto"/>
                <w:kern w:val="0"/>
                <w:sz w:val="24"/>
                <w:szCs w:val="24"/>
                <w:lang w:val="en-US" w:eastAsia="zh-CN"/>
              </w:rPr>
              <w:t>生活污水</w:t>
            </w:r>
            <w:r>
              <w:rPr>
                <w:rFonts w:hint="default" w:ascii="Times New Roman" w:hAnsi="Times New Roman" w:eastAsia="宋体" w:cs="Times New Roman"/>
                <w:color w:val="auto"/>
                <w:kern w:val="0"/>
                <w:sz w:val="24"/>
                <w:szCs w:val="24"/>
                <w:lang w:val="en-US" w:eastAsia="zh-CN"/>
              </w:rPr>
              <w:t>排入厂内防渗旱厕，外运堆肥。本项目无废水向地表水环境排放</w:t>
            </w:r>
            <w:r>
              <w:rPr>
                <w:rFonts w:hint="eastAsia" w:ascii="Times New Roman" w:hAnsi="Times New Roman" w:eastAsia="宋体" w:cs="Times New Roman"/>
                <w:color w:val="auto"/>
                <w:kern w:val="0"/>
                <w:sz w:val="24"/>
                <w:szCs w:val="24"/>
                <w:lang w:val="en-US" w:eastAsia="zh-CN"/>
              </w:rPr>
              <w:t>，对外环境影响较小</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（1）源强分析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bCs/>
                <w:color w:val="auto"/>
                <w:spacing w:val="-10"/>
                <w:sz w:val="24"/>
                <w:szCs w:val="24"/>
                <w:lang w:val="en-US" w:eastAsia="zh-CN"/>
              </w:rPr>
              <w:t>本项目噪声主要来源于</w:t>
            </w:r>
            <w:r>
              <w:rPr>
                <w:rFonts w:hint="default" w:ascii="Times New Roman" w:hAnsi="Times New Roman" w:cs="Times New Roman"/>
                <w:color w:val="auto"/>
                <w:sz w:val="24"/>
                <w:szCs w:val="24"/>
                <w:lang w:val="en-US" w:eastAsia="zh-CN"/>
              </w:rPr>
              <w:t>清粮筛分机、输送机、风机、烘干塔等设备，具体噪声源强详见下表。</w:t>
            </w:r>
          </w:p>
          <w:p>
            <w:pPr>
              <w:pStyle w:val="80"/>
              <w:adjustRightInd/>
              <w:snapToGrid/>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表4-7噪声源排放特征及噪声值情况表（室内声源）</w:t>
            </w:r>
          </w:p>
          <w:tbl>
            <w:tblPr>
              <w:tblStyle w:val="30"/>
              <w:tblW w:w="865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31"/>
              <w:gridCol w:w="431"/>
              <w:gridCol w:w="822"/>
              <w:gridCol w:w="644"/>
              <w:gridCol w:w="431"/>
              <w:gridCol w:w="371"/>
              <w:gridCol w:w="351"/>
              <w:gridCol w:w="699"/>
              <w:gridCol w:w="822"/>
              <w:gridCol w:w="468"/>
              <w:gridCol w:w="822"/>
              <w:gridCol w:w="822"/>
              <w:gridCol w:w="431"/>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153"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69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6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25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67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37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35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69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6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67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热风炉房</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厂房隔声、减震、选用隔声门窗</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olor w:val="auto"/>
                    </w:rPr>
                    <w:t>6.6</w:t>
                  </w:r>
                </w:p>
              </w:tc>
              <w:tc>
                <w:tcPr>
                  <w:tcW w:w="37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olor w:val="auto"/>
                    </w:rPr>
                    <w:t>38.83</w:t>
                  </w:r>
                </w:p>
              </w:tc>
              <w:tc>
                <w:tcPr>
                  <w:tcW w:w="35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olor w:val="auto"/>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1.75</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67.46</w:t>
                  </w:r>
                </w:p>
              </w:tc>
              <w:tc>
                <w:tcPr>
                  <w:tcW w:w="46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41.46</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31"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热风炉</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olor w:val="auto"/>
                    </w:rPr>
                    <w:t>8.64</w:t>
                  </w:r>
                </w:p>
              </w:tc>
              <w:tc>
                <w:tcPr>
                  <w:tcW w:w="37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olor w:val="auto"/>
                    </w:rPr>
                    <w:t>41.55</w:t>
                  </w:r>
                </w:p>
              </w:tc>
              <w:tc>
                <w:tcPr>
                  <w:tcW w:w="35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olor w:val="auto"/>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2.79</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72.33</w:t>
                  </w:r>
                </w:p>
              </w:tc>
              <w:tc>
                <w:tcPr>
                  <w:tcW w:w="46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46.33</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480</w:t>
                  </w:r>
                </w:p>
              </w:tc>
            </w:tr>
          </w:tbl>
          <w:p>
            <w:pPr>
              <w:pStyle w:val="80"/>
              <w:adjustRightInd/>
              <w:snapToGrid/>
              <w:spacing w:line="240" w:lineRule="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噪声源排放特征及噪声值情况表</w:t>
            </w:r>
            <w:r>
              <w:rPr>
                <w:rFonts w:hint="eastAsia" w:ascii="Times New Roman" w:hAnsi="Times New Roman" w:eastAsia="宋体" w:cs="Times New Roman"/>
                <w:b/>
                <w:bCs/>
                <w:color w:val="auto"/>
                <w:sz w:val="21"/>
                <w:szCs w:val="21"/>
                <w:lang w:val="en-US" w:eastAsia="zh-CN"/>
              </w:rPr>
              <w:t>（室外声源）</w:t>
            </w:r>
          </w:p>
          <w:tbl>
            <w:tblPr>
              <w:tblStyle w:val="104"/>
              <w:tblpPr w:leftFromText="180" w:rightFromText="180" w:vertAnchor="text" w:horzAnchor="page" w:tblpX="477" w:tblpY="299"/>
              <w:tblOverlap w:val="never"/>
              <w:tblW w:w="804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1529"/>
              <w:gridCol w:w="531"/>
              <w:gridCol w:w="427"/>
              <w:gridCol w:w="479"/>
              <w:gridCol w:w="1129"/>
              <w:gridCol w:w="1571"/>
              <w:gridCol w:w="962"/>
              <w:gridCol w:w="9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en-US" w:bidi="ar-SA"/>
                    </w:rPr>
                  </w:pPr>
                  <w:r>
                    <w:rPr>
                      <w:rFonts w:hint="default" w:ascii="Times New Roman" w:hAnsi="Times New Roman" w:eastAsia="宋体" w:cs="Times New Roman"/>
                      <w:b/>
                      <w:color w:val="auto"/>
                      <w:kern w:val="0"/>
                      <w:sz w:val="21"/>
                      <w:szCs w:val="21"/>
                      <w:highlight w:val="none"/>
                      <w:lang w:val="en-US" w:eastAsia="en-US" w:bidi="ar-SA"/>
                    </w:rPr>
                    <w:t>序号</w:t>
                  </w:r>
                </w:p>
              </w:tc>
              <w:tc>
                <w:tcPr>
                  <w:tcW w:w="152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声源名称</w:t>
                  </w:r>
                </w:p>
              </w:tc>
              <w:tc>
                <w:tcPr>
                  <w:tcW w:w="143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空间相对位置/m</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声源源强/dB（A）</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声源控制措施</w:t>
                  </w:r>
                </w:p>
              </w:tc>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降噪后源强dB（A）</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运行时段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15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X</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Y</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Z</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w:t>
                  </w:r>
                  <w:r>
                    <w:rPr>
                      <w:rFonts w:hint="eastAsia" w:cs="Times New Roman"/>
                      <w:b/>
                      <w:bCs w:val="0"/>
                      <w:color w:val="auto"/>
                      <w:kern w:val="0"/>
                      <w:sz w:val="21"/>
                      <w:szCs w:val="21"/>
                      <w:highlight w:val="none"/>
                      <w:lang w:val="en-US" w:eastAsia="zh-CN" w:bidi="ar-SA"/>
                    </w:rPr>
                    <w:t>压</w:t>
                  </w:r>
                  <w:r>
                    <w:rPr>
                      <w:rFonts w:hint="default" w:ascii="Times New Roman" w:hAnsi="Times New Roman" w:eastAsia="宋体" w:cs="Times New Roman"/>
                      <w:b/>
                      <w:bCs w:val="0"/>
                      <w:color w:val="auto"/>
                      <w:kern w:val="0"/>
                      <w:sz w:val="21"/>
                      <w:szCs w:val="21"/>
                      <w:highlight w:val="none"/>
                      <w:lang w:val="en-US" w:eastAsia="zh-CN" w:bidi="ar-SA"/>
                    </w:rPr>
                    <w:t>级</w:t>
                  </w:r>
                  <w:r>
                    <w:rPr>
                      <w:rFonts w:hint="eastAsia" w:cs="Times New Roman"/>
                      <w:b/>
                      <w:bCs w:val="0"/>
                      <w:color w:val="auto"/>
                      <w:kern w:val="0"/>
                      <w:sz w:val="21"/>
                      <w:szCs w:val="21"/>
                      <w:highlight w:val="none"/>
                      <w:lang w:val="en-US" w:eastAsia="zh-CN" w:bidi="ar-SA"/>
                    </w:rPr>
                    <w:t>/距声源距离5m</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1</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Cs w:val="21"/>
                    </w:rPr>
                    <w:t>清</w:t>
                  </w:r>
                  <w:r>
                    <w:rPr>
                      <w:rFonts w:hint="default" w:ascii="Times New Roman" w:hAnsi="Times New Roman" w:cs="Times New Roman"/>
                      <w:color w:val="auto"/>
                      <w:szCs w:val="21"/>
                      <w:lang w:val="en-US" w:eastAsia="zh-CN"/>
                    </w:rPr>
                    <w:t>粮</w:t>
                  </w:r>
                  <w:r>
                    <w:rPr>
                      <w:rFonts w:hint="default" w:ascii="Times New Roman" w:hAnsi="Times New Roman" w:cs="Times New Roman"/>
                      <w:color w:val="auto"/>
                      <w:szCs w:val="21"/>
                    </w:rPr>
                    <w:t>筛</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31.31</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32.49</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1</w:t>
                  </w:r>
                  <w:r>
                    <w:rPr>
                      <w:rFonts w:hint="eastAsia"/>
                      <w:color w:val="auto"/>
                      <w:lang w:val="en-US" w:eastAsia="zh-CN"/>
                    </w:rPr>
                    <w:t>.5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安装减震基础、选用低噪声设备</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昼夜运行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2</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Cs w:val="21"/>
                      <w:lang w:val="en-US" w:eastAsia="zh-CN"/>
                    </w:rPr>
                    <w:t>输送机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17.71</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28.86</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1</w:t>
                  </w:r>
                  <w:r>
                    <w:rPr>
                      <w:rFonts w:hint="eastAsia"/>
                      <w:color w:val="auto"/>
                      <w:lang w:val="en-US" w:eastAsia="zh-CN"/>
                    </w:rPr>
                    <w:t>.5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3</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lang w:val="en-US" w:eastAsia="zh-CN"/>
                    </w:rPr>
                    <w:t>提升机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37.66</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33.62</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1</w:t>
                  </w:r>
                  <w:r>
                    <w:rPr>
                      <w:rFonts w:hint="eastAsia"/>
                      <w:color w:val="auto"/>
                      <w:lang w:val="en-US" w:eastAsia="zh-CN"/>
                    </w:rPr>
                    <w:t>.5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4</w:t>
                  </w:r>
                </w:p>
              </w:tc>
              <w:tc>
                <w:tcPr>
                  <w:tcW w:w="1529" w:type="dxa"/>
                  <w:tcBorders>
                    <w:tl2br w:val="nil"/>
                    <w:tr2bl w:val="nil"/>
                  </w:tcBorders>
                  <w:vAlign w:val="center"/>
                </w:tcPr>
                <w:p>
                  <w:pPr>
                    <w:widowControl/>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lang w:val="en-US" w:eastAsia="zh-CN"/>
                    </w:rPr>
                    <w:t>烘干塔</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6.37</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29.54</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1</w:t>
                  </w:r>
                  <w:r>
                    <w:rPr>
                      <w:rFonts w:hint="eastAsia"/>
                      <w:color w:val="auto"/>
                      <w:lang w:val="en-US" w:eastAsia="zh-CN"/>
                    </w:rPr>
                    <w:t>.5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bl>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①某一室内声源靠近围护结构处产生的倍频带声压级</w:t>
            </w:r>
          </w:p>
          <w:p>
            <w:pPr>
              <w:pStyle w:val="105"/>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8" o:spt="75" type="#_x0000_t75" style="height:41.4pt;width:168.2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②所有室内声源在围护结构处产生的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05"/>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9" o:spt="75" type="#_x0000_t75" style="height:42.7pt;width:143.3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05"/>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③无指向性点声源几何发散衰减的基本公式是：</w:t>
            </w:r>
          </w:p>
          <w:p>
            <w:pPr>
              <w:pStyle w:val="105"/>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0" o:spt="75" type="#_x0000_t75" style="height:36.95pt;width:131.9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05"/>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05"/>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④建设项目声源在预测点产生的等效声级贡献值</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06"/>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1" o:spt="75" type="#_x0000_t75" style="height:39.5pt;width:143.3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05"/>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2" o:spt="75" type="#_x0000_t75" style="height:24.85pt;width:183.5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48"/>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96"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144"/>
                          <pic:cNvPicPr>
                            <a:picLocks noChangeAspect="1" noChangeArrowheads="1"/>
                          </pic:cNvPicPr>
                        </pic:nvPicPr>
                        <pic:blipFill>
                          <a:blip r:embed="rId33"/>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auto"/>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82" w:firstLineChars="200"/>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zh-CN"/>
              </w:rPr>
              <w:t>表4-</w:t>
            </w:r>
            <w:r>
              <w:rPr>
                <w:rFonts w:hint="eastAsia" w:cs="Times New Roman"/>
                <w:b/>
                <w:bCs/>
                <w:color w:val="auto"/>
                <w:sz w:val="24"/>
                <w:szCs w:val="24"/>
                <w:lang w:val="en-US" w:eastAsia="zh-CN"/>
              </w:rPr>
              <w:t>8</w:t>
            </w:r>
            <w:r>
              <w:rPr>
                <w:rFonts w:ascii="Times New Roman" w:hAnsi="Times New Roman" w:eastAsia="宋体" w:cs="Times New Roman"/>
                <w:b/>
                <w:bCs/>
                <w:color w:val="auto"/>
                <w:sz w:val="24"/>
                <w:szCs w:val="24"/>
                <w:lang w:val="zh-CN"/>
              </w:rPr>
              <w:t xml:space="preserve"> 主要噪声</w:t>
            </w:r>
            <w:r>
              <w:rPr>
                <w:rFonts w:hint="eastAsia" w:ascii="Times New Roman" w:hAnsi="Times New Roman" w:eastAsia="宋体" w:cs="Times New Roman"/>
                <w:b/>
                <w:bCs/>
                <w:color w:val="auto"/>
                <w:sz w:val="24"/>
                <w:szCs w:val="24"/>
                <w:lang w:val="en-US" w:eastAsia="zh-CN"/>
              </w:rPr>
              <w:t>影响预测结果</w:t>
            </w:r>
          </w:p>
          <w:tbl>
            <w:tblPr>
              <w:tblStyle w:val="30"/>
              <w:tblW w:w="86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29"/>
              <w:gridCol w:w="830"/>
              <w:gridCol w:w="762"/>
              <w:gridCol w:w="662"/>
              <w:gridCol w:w="99"/>
              <w:gridCol w:w="762"/>
              <w:gridCol w:w="751"/>
              <w:gridCol w:w="777"/>
              <w:gridCol w:w="742"/>
              <w:gridCol w:w="782"/>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2" w:type="dxa"/>
                  <w:vMerge w:val="restart"/>
                  <w:noWrap w:val="0"/>
                  <w:vAlign w:val="center"/>
                </w:tcPr>
                <w:p>
                  <w:pPr>
                    <w:snapToGrid w:val="0"/>
                    <w:jc w:val="center"/>
                    <w:rPr>
                      <w:b/>
                      <w:bCs/>
                      <w:color w:val="auto"/>
                      <w:szCs w:val="21"/>
                    </w:rPr>
                  </w:pPr>
                  <w:r>
                    <w:rPr>
                      <w:b/>
                      <w:bCs/>
                      <w:color w:val="auto"/>
                      <w:szCs w:val="21"/>
                      <w:lang w:bidi="ar"/>
                    </w:rPr>
                    <w:t>预测点</w:t>
                  </w:r>
                </w:p>
              </w:tc>
              <w:tc>
                <w:tcPr>
                  <w:tcW w:w="1659" w:type="dxa"/>
                  <w:gridSpan w:val="2"/>
                  <w:noWrap w:val="0"/>
                  <w:vAlign w:val="center"/>
                </w:tcPr>
                <w:p>
                  <w:pPr>
                    <w:snapToGrid w:val="0"/>
                    <w:jc w:val="center"/>
                    <w:rPr>
                      <w:b/>
                      <w:bCs/>
                      <w:color w:val="auto"/>
                      <w:szCs w:val="21"/>
                    </w:rPr>
                  </w:pPr>
                  <w:r>
                    <w:rPr>
                      <w:b/>
                      <w:bCs/>
                      <w:color w:val="auto"/>
                      <w:szCs w:val="21"/>
                      <w:lang w:bidi="ar"/>
                    </w:rPr>
                    <w:t>贡献值/dB（A）</w:t>
                  </w:r>
                </w:p>
              </w:tc>
              <w:tc>
                <w:tcPr>
                  <w:tcW w:w="1424" w:type="dxa"/>
                  <w:gridSpan w:val="2"/>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612" w:type="dxa"/>
                  <w:gridSpan w:val="3"/>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519" w:type="dxa"/>
                  <w:gridSpan w:val="2"/>
                  <w:noWrap w:val="0"/>
                  <w:vAlign w:val="center"/>
                </w:tcPr>
                <w:p>
                  <w:pPr>
                    <w:snapToGrid w:val="0"/>
                    <w:jc w:val="center"/>
                    <w:rPr>
                      <w:b/>
                      <w:bCs/>
                      <w:color w:val="auto"/>
                      <w:szCs w:val="21"/>
                    </w:rPr>
                  </w:pPr>
                  <w:r>
                    <w:rPr>
                      <w:b/>
                      <w:bCs/>
                      <w:color w:val="auto"/>
                      <w:szCs w:val="21"/>
                      <w:lang w:bidi="ar"/>
                    </w:rPr>
                    <w:t>噪声标准/dB（A）</w:t>
                  </w:r>
                </w:p>
              </w:tc>
              <w:tc>
                <w:tcPr>
                  <w:tcW w:w="1557" w:type="dxa"/>
                  <w:gridSpan w:val="2"/>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vMerge w:val="continue"/>
                  <w:noWrap w:val="0"/>
                  <w:vAlign w:val="center"/>
                </w:tcPr>
                <w:p>
                  <w:pPr>
                    <w:rPr>
                      <w:rFonts w:eastAsia="等线"/>
                      <w:color w:val="auto"/>
                      <w:sz w:val="20"/>
                      <w:szCs w:val="20"/>
                    </w:rPr>
                  </w:pPr>
                </w:p>
              </w:tc>
              <w:tc>
                <w:tcPr>
                  <w:tcW w:w="829" w:type="dxa"/>
                  <w:noWrap w:val="0"/>
                  <w:vAlign w:val="center"/>
                </w:tcPr>
                <w:p>
                  <w:pPr>
                    <w:snapToGrid w:val="0"/>
                    <w:jc w:val="center"/>
                    <w:rPr>
                      <w:rFonts w:hint="default" w:eastAsia="宋体"/>
                      <w:b/>
                      <w:bCs/>
                      <w:color w:val="auto"/>
                      <w:szCs w:val="21"/>
                      <w:lang w:val="en-US" w:eastAsia="zh-CN"/>
                    </w:rPr>
                  </w:pPr>
                  <w:r>
                    <w:rPr>
                      <w:rFonts w:hint="eastAsia"/>
                      <w:b/>
                      <w:bCs/>
                      <w:color w:val="auto"/>
                      <w:szCs w:val="21"/>
                    </w:rPr>
                    <w:t>昼间</w:t>
                  </w:r>
                </w:p>
              </w:tc>
              <w:tc>
                <w:tcPr>
                  <w:tcW w:w="830"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rFonts w:hint="eastAsia"/>
                      <w:b/>
                      <w:bCs/>
                      <w:color w:val="auto"/>
                      <w:szCs w:val="21"/>
                    </w:rPr>
                  </w:pPr>
                  <w:r>
                    <w:rPr>
                      <w:rFonts w:hint="eastAsia"/>
                      <w:b/>
                      <w:bCs/>
                      <w:color w:val="auto"/>
                      <w:szCs w:val="21"/>
                    </w:rPr>
                    <w:t>昼间</w:t>
                  </w:r>
                </w:p>
              </w:tc>
              <w:tc>
                <w:tcPr>
                  <w:tcW w:w="761" w:type="dxa"/>
                  <w:gridSpan w:val="2"/>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b/>
                      <w:bCs/>
                      <w:color w:val="auto"/>
                      <w:szCs w:val="21"/>
                    </w:rPr>
                  </w:pPr>
                  <w:r>
                    <w:rPr>
                      <w:rFonts w:hint="eastAsia"/>
                      <w:b/>
                      <w:bCs/>
                      <w:color w:val="auto"/>
                      <w:szCs w:val="21"/>
                    </w:rPr>
                    <w:t>昼间</w:t>
                  </w:r>
                </w:p>
              </w:tc>
              <w:tc>
                <w:tcPr>
                  <w:tcW w:w="751" w:type="dxa"/>
                  <w:noWrap w:val="0"/>
                  <w:vAlign w:val="center"/>
                </w:tcPr>
                <w:p>
                  <w:pPr>
                    <w:snapToGrid w:val="0"/>
                    <w:jc w:val="center"/>
                    <w:rPr>
                      <w:b/>
                      <w:bCs/>
                      <w:color w:val="auto"/>
                      <w:szCs w:val="21"/>
                    </w:rPr>
                  </w:pPr>
                  <w:r>
                    <w:rPr>
                      <w:rFonts w:hint="eastAsia"/>
                      <w:b/>
                      <w:bCs/>
                      <w:color w:val="auto"/>
                      <w:szCs w:val="21"/>
                      <w:lang w:val="en-US" w:eastAsia="zh-CN"/>
                    </w:rPr>
                    <w:t>夜</w:t>
                  </w:r>
                  <w:r>
                    <w:rPr>
                      <w:rFonts w:hint="eastAsia"/>
                      <w:b/>
                      <w:bCs/>
                      <w:color w:val="auto"/>
                      <w:szCs w:val="21"/>
                    </w:rPr>
                    <w:t>间</w:t>
                  </w:r>
                </w:p>
              </w:tc>
              <w:tc>
                <w:tcPr>
                  <w:tcW w:w="777" w:type="dxa"/>
                  <w:noWrap w:val="0"/>
                  <w:vAlign w:val="center"/>
                </w:tcPr>
                <w:p>
                  <w:pPr>
                    <w:snapToGrid w:val="0"/>
                    <w:jc w:val="center"/>
                    <w:rPr>
                      <w:rFonts w:hint="eastAsia"/>
                      <w:b/>
                      <w:bCs/>
                      <w:color w:val="auto"/>
                      <w:szCs w:val="21"/>
                    </w:rPr>
                  </w:pPr>
                  <w:r>
                    <w:rPr>
                      <w:rFonts w:hint="eastAsia"/>
                      <w:b/>
                      <w:bCs/>
                      <w:color w:val="auto"/>
                      <w:szCs w:val="21"/>
                    </w:rPr>
                    <w:t>昼间</w:t>
                  </w:r>
                </w:p>
              </w:tc>
              <w:tc>
                <w:tcPr>
                  <w:tcW w:w="742"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82" w:type="dxa"/>
                  <w:noWrap w:val="0"/>
                  <w:vAlign w:val="center"/>
                </w:tcPr>
                <w:p>
                  <w:pPr>
                    <w:snapToGrid w:val="0"/>
                    <w:jc w:val="center"/>
                    <w:rPr>
                      <w:rFonts w:hint="eastAsia"/>
                      <w:b/>
                      <w:bCs/>
                      <w:color w:val="auto"/>
                      <w:szCs w:val="21"/>
                    </w:rPr>
                  </w:pPr>
                  <w:r>
                    <w:rPr>
                      <w:rFonts w:hint="eastAsia"/>
                      <w:b/>
                      <w:bCs/>
                      <w:color w:val="auto"/>
                      <w:szCs w:val="21"/>
                    </w:rPr>
                    <w:t>昼间</w:t>
                  </w:r>
                </w:p>
              </w:tc>
              <w:tc>
                <w:tcPr>
                  <w:tcW w:w="775"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34.02</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34.02</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39.60</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39.60</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46.34</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46.34</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gridSpan w:val="2"/>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45.18</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45.18</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lang w:val="en-US" w:eastAsia="zh-CN"/>
              </w:rPr>
              <w:t>清粮筛、输送机、</w:t>
            </w:r>
            <w:r>
              <w:rPr>
                <w:rFonts w:hint="eastAsia" w:cs="Times New Roman"/>
                <w:color w:val="auto"/>
                <w:sz w:val="24"/>
                <w:szCs w:val="24"/>
                <w:lang w:val="en-US" w:eastAsia="zh-CN"/>
              </w:rPr>
              <w:t>提升机、</w:t>
            </w:r>
            <w:r>
              <w:rPr>
                <w:rFonts w:hint="default" w:ascii="Times New Roman" w:hAnsi="Times New Roman" w:cs="Times New Roman"/>
                <w:color w:val="auto"/>
                <w:sz w:val="24"/>
                <w:szCs w:val="24"/>
                <w:lang w:val="en-US" w:eastAsia="zh-CN"/>
              </w:rPr>
              <w:t>风机、烘干塔等</w:t>
            </w:r>
            <w:r>
              <w:rPr>
                <w:rFonts w:hint="eastAsia" w:ascii="Times New Roman" w:hAnsi="Times New Roman" w:cs="Times New Roman"/>
                <w:color w:val="auto"/>
                <w:sz w:val="24"/>
                <w:szCs w:val="24"/>
                <w:lang w:val="en-US" w:eastAsia="zh-CN"/>
              </w:rPr>
              <w:t>已</w:t>
            </w:r>
            <w:r>
              <w:rPr>
                <w:rFonts w:hint="default" w:ascii="Times New Roman" w:hAnsi="Times New Roman" w:eastAsia="宋体" w:cs="Times New Roman"/>
                <w:bCs/>
                <w:color w:val="auto"/>
                <w:spacing w:val="-10"/>
                <w:sz w:val="24"/>
                <w:szCs w:val="24"/>
                <w:lang w:val="en-US" w:eastAsia="zh-CN"/>
              </w:rPr>
              <w:t>选用低噪声设备，</w:t>
            </w:r>
            <w:r>
              <w:rPr>
                <w:rFonts w:hint="default" w:ascii="Times New Roman" w:hAnsi="Times New Roman" w:cs="Times New Roman"/>
                <w:color w:val="auto"/>
                <w:sz w:val="24"/>
                <w:szCs w:val="24"/>
                <w:lang w:val="en-US" w:eastAsia="zh-CN"/>
              </w:rPr>
              <w:t>清粮筛、烘干塔等</w:t>
            </w:r>
            <w:r>
              <w:rPr>
                <w:rFonts w:hint="default" w:ascii="Times New Roman" w:hAnsi="Times New Roman" w:eastAsia="宋体" w:cs="Times New Roman"/>
                <w:bCs/>
                <w:color w:val="auto"/>
                <w:spacing w:val="-10"/>
                <w:sz w:val="24"/>
                <w:szCs w:val="24"/>
                <w:lang w:val="en-US" w:eastAsia="zh-CN"/>
              </w:rPr>
              <w:t>噪声设备装设减振垫，风机进、出风口装设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厂房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厂界噪声排放可控制在60dB（A）以下，</w:t>
            </w:r>
            <w:r>
              <w:rPr>
                <w:rFonts w:hint="default" w:ascii="Times New Roman" w:hAnsi="Times New Roman" w:cs="Times New Roman"/>
                <w:color w:val="auto"/>
                <w:kern w:val="0"/>
                <w:sz w:val="24"/>
                <w:szCs w:val="24"/>
                <w:lang w:val="en-US" w:eastAsia="zh-CN"/>
              </w:rPr>
              <w:t>满足《工业企业厂界噪声排放标准》（GB12348-2008）中</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）环境噪声监测要求</w:t>
            </w:r>
          </w:p>
          <w:p>
            <w:pPr>
              <w:adjustRightInd w:val="0"/>
              <w:snapToGrid w:val="0"/>
              <w:ind w:firstLine="482"/>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9</w:t>
            </w:r>
            <w:r>
              <w:rPr>
                <w:rFonts w:hint="default" w:ascii="Times New Roman" w:hAnsi="Times New Roman" w:cs="Times New Roman"/>
                <w:b/>
                <w:color w:val="auto"/>
                <w:szCs w:val="21"/>
              </w:rPr>
              <w:t xml:space="preserve">  噪声监测计划一览表</w:t>
            </w:r>
          </w:p>
          <w:tbl>
            <w:tblPr>
              <w:tblStyle w:val="30"/>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厂界四周外1m布设4个点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等效声级、最大声级</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每</w:t>
                  </w:r>
                  <w:r>
                    <w:rPr>
                      <w:rFonts w:hint="eastAsia" w:cs="Times New Roman"/>
                      <w:bCs/>
                      <w:color w:val="auto"/>
                      <w:kern w:val="0"/>
                      <w:szCs w:val="21"/>
                      <w:lang w:val="en-US" w:eastAsia="zh-CN"/>
                    </w:rPr>
                    <w:t>年运行期</w:t>
                  </w:r>
                  <w:r>
                    <w:rPr>
                      <w:rFonts w:hint="default" w:ascii="Times New Roman" w:hAnsi="Times New Roman" w:cs="Times New Roman"/>
                      <w:bCs/>
                      <w:color w:val="auto"/>
                      <w:kern w:val="0"/>
                      <w:szCs w:val="21"/>
                    </w:rPr>
                    <w:t>开展1次昼夜监测</w:t>
                  </w:r>
                </w:p>
              </w:tc>
              <w:tc>
                <w:tcPr>
                  <w:tcW w:w="2793" w:type="dxa"/>
                  <w:noWrap w:val="0"/>
                  <w:vAlign w:val="center"/>
                </w:tcPr>
                <w:p>
                  <w:pPr>
                    <w:jc w:val="center"/>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4、固体废物</w:t>
            </w:r>
          </w:p>
          <w:p>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本项目运营期产生的固体废弃物，一般固废主要包括</w:t>
            </w:r>
            <w:r>
              <w:rPr>
                <w:rFonts w:hint="default" w:ascii="Times New Roman" w:hAnsi="Times New Roman" w:cs="Times New Roman"/>
                <w:color w:val="auto"/>
                <w:sz w:val="24"/>
                <w:szCs w:val="24"/>
                <w:highlight w:val="none"/>
                <w:lang w:eastAsia="zh-CN"/>
              </w:rPr>
              <w:t>：</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热风炉产生的炉渣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bCs/>
                <w:color w:val="auto"/>
                <w:spacing w:val="-10"/>
                <w:sz w:val="24"/>
                <w:szCs w:val="24"/>
                <w:highlight w:val="none"/>
                <w:lang w:val="en-US" w:eastAsia="zh-CN"/>
              </w:rPr>
              <w:t>输送产生的</w:t>
            </w:r>
            <w:r>
              <w:rPr>
                <w:rFonts w:hint="default" w:ascii="Times New Roman" w:hAnsi="Times New Roman" w:cs="Times New Roman"/>
                <w:color w:val="auto"/>
                <w:sz w:val="24"/>
                <w:szCs w:val="24"/>
                <w:highlight w:val="none"/>
                <w:lang w:eastAsia="zh-CN"/>
              </w:rPr>
              <w:t>粉尘</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清理原粮中的杂质（泥沙）：年产生量约</w:t>
            </w:r>
            <w:r>
              <w:rPr>
                <w:rFonts w:hint="eastAsia" w:cs="Times New Roman"/>
                <w:bCs/>
                <w:color w:val="auto"/>
                <w:spacing w:val="-10"/>
                <w:sz w:val="24"/>
                <w:szCs w:val="24"/>
                <w:highlight w:val="none"/>
                <w:lang w:val="en-US" w:eastAsia="zh-CN"/>
              </w:rPr>
              <w:t>1</w:t>
            </w:r>
            <w:r>
              <w:rPr>
                <w:rFonts w:hint="default" w:ascii="Times New Roman" w:hAnsi="Times New Roman" w:eastAsia="宋体" w:cs="Times New Roman"/>
                <w:bCs/>
                <w:color w:val="auto"/>
                <w:spacing w:val="-10"/>
                <w:sz w:val="24"/>
                <w:szCs w:val="24"/>
                <w:highlight w:val="none"/>
                <w:lang w:val="en-US" w:eastAsia="zh-CN"/>
              </w:rPr>
              <w:t>t/a，依托当地环卫部门统一收集处理。</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《一般固体废物分类与代码》（GB/T39198-2020）</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051-004-</w:t>
            </w:r>
            <w:r>
              <w:rPr>
                <w:rFonts w:hint="default" w:ascii="Times New Roman" w:hAnsi="Times New Roman" w:eastAsia="宋体" w:cs="Times New Roman"/>
                <w:color w:val="auto"/>
                <w:sz w:val="24"/>
                <w:szCs w:val="24"/>
                <w:highlight w:val="none"/>
                <w:lang w:eastAsia="zh-CN"/>
              </w:rPr>
              <w:t>99。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本项目</w:t>
            </w:r>
            <w:r>
              <w:rPr>
                <w:rFonts w:hint="eastAsia" w:ascii="Times New Roman" w:hAnsi="Times New Roman" w:eastAsia="宋体" w:cs="Times New Roman"/>
                <w:bCs/>
                <w:color w:val="auto"/>
                <w:spacing w:val="-10"/>
                <w:sz w:val="24"/>
                <w:szCs w:val="24"/>
                <w:highlight w:val="none"/>
                <w:lang w:val="en-US" w:eastAsia="zh-CN"/>
              </w:rPr>
              <w:t>热风炉</w:t>
            </w:r>
            <w:r>
              <w:rPr>
                <w:rFonts w:hint="default" w:ascii="Times New Roman" w:hAnsi="Times New Roman" w:eastAsia="宋体" w:cs="Times New Roman"/>
                <w:bCs/>
                <w:color w:val="auto"/>
                <w:spacing w:val="-10"/>
                <w:sz w:val="24"/>
                <w:szCs w:val="24"/>
                <w:highlight w:val="none"/>
                <w:lang w:val="en-US" w:eastAsia="zh-CN"/>
              </w:rPr>
              <w:t>产生的</w:t>
            </w:r>
            <w:r>
              <w:rPr>
                <w:rFonts w:hint="eastAsia" w:ascii="Times New Roman" w:hAnsi="Times New Roman" w:eastAsia="宋体" w:cs="Times New Roman"/>
                <w:bCs/>
                <w:color w:val="auto"/>
                <w:spacing w:val="-10"/>
                <w:sz w:val="24"/>
                <w:szCs w:val="24"/>
                <w:highlight w:val="none"/>
                <w:lang w:val="en-US" w:eastAsia="zh-CN"/>
              </w:rPr>
              <w:t>灰渣</w:t>
            </w:r>
            <w:r>
              <w:rPr>
                <w:rFonts w:hint="default" w:ascii="Times New Roman" w:hAnsi="Times New Roman" w:eastAsia="宋体" w:cs="Times New Roman"/>
                <w:bCs/>
                <w:color w:val="auto"/>
                <w:spacing w:val="-10"/>
                <w:sz w:val="24"/>
                <w:szCs w:val="24"/>
                <w:highlight w:val="none"/>
                <w:lang w:val="en-US" w:eastAsia="zh-CN"/>
              </w:rPr>
              <w:t>量</w:t>
            </w:r>
            <w:r>
              <w:rPr>
                <w:rFonts w:hint="eastAsia" w:ascii="Times New Roman" w:hAnsi="Times New Roman" w:eastAsia="宋体" w:cs="Times New Roman"/>
                <w:bCs/>
                <w:color w:val="auto"/>
                <w:spacing w:val="-10"/>
                <w:sz w:val="24"/>
                <w:szCs w:val="24"/>
                <w:highlight w:val="none"/>
                <w:lang w:val="en-US" w:eastAsia="zh-CN"/>
              </w:rPr>
              <w:t>参照</w:t>
            </w:r>
            <w:r>
              <w:rPr>
                <w:rFonts w:hint="default" w:ascii="Times New Roman" w:hAnsi="Times New Roman" w:eastAsia="宋体" w:cs="Times New Roman"/>
                <w:bCs/>
                <w:color w:val="auto"/>
                <w:spacing w:val="-10"/>
                <w:sz w:val="24"/>
                <w:szCs w:val="24"/>
                <w:highlight w:val="none"/>
                <w:lang w:val="en-US" w:eastAsia="zh-CN"/>
              </w:rPr>
              <w:t>《污染源源强核算技术指南 锅炉》（HJ 991—2018）中</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8.1.1 物料衡算法</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进行计算确定，计算公式如下：</w:t>
            </w:r>
          </w:p>
          <w:p>
            <w:pPr>
              <w:pStyle w:val="87"/>
              <w:keepNext w:val="0"/>
              <w:keepLines w:val="0"/>
              <w:pageBreakBefore w:val="0"/>
              <w:kinsoku/>
              <w:wordWrap/>
              <w:overflowPunct/>
              <w:topLinePunct w:val="0"/>
              <w:autoSpaceDE/>
              <w:autoSpaceDN/>
              <w:bidi w:val="0"/>
              <w:spacing w:line="360" w:lineRule="auto"/>
              <w:ind w:left="0" w:leftChars="0" w:right="0" w:rightChars="0" w:firstLine="480" w:firstLineChars="200"/>
              <w:jc w:val="center"/>
              <w:rPr>
                <w:color w:val="auto"/>
                <w:sz w:val="24"/>
                <w:szCs w:val="24"/>
                <w:lang w:eastAsia="en-US"/>
              </w:rPr>
            </w:pPr>
            <w:r>
              <w:rPr>
                <w:color w:val="auto"/>
                <w:position w:val="-28"/>
                <w:sz w:val="24"/>
                <w:szCs w:val="24"/>
              </w:rPr>
              <w:object>
                <v:shape id="_x0000_i1033" o:spt="75" type="#_x0000_t75" style="height:34pt;width:146pt;" o:ole="t" filled="f" o:preferrelative="t" stroked="f" coordsize="21600,21600">
                  <v:path/>
                  <v:fill on="f" focussize="0,0"/>
                  <v:stroke on="f"/>
                  <v:imagedata r:id="rId35" o:title=""/>
                  <o:lock v:ext="edit" aspectratio="t"/>
                  <w10:wrap type="none"/>
                  <w10:anchorlock/>
                </v:shape>
                <o:OLEObject Type="Embed" ProgID="Equation.KSEE3" ShapeID="_x0000_i1033" DrawAspect="Content" ObjectID="_1468075733" r:id="rId34">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式中：E</w:t>
            </w:r>
            <w:r>
              <w:rPr>
                <w:bCs/>
                <w:color w:val="auto"/>
                <w:spacing w:val="-10"/>
                <w:sz w:val="24"/>
                <w:szCs w:val="24"/>
                <w:vertAlign w:val="subscript"/>
              </w:rPr>
              <w:t>hz</w:t>
            </w:r>
            <w:r>
              <w:rPr>
                <w:bCs/>
                <w:color w:val="auto"/>
                <w:spacing w:val="-10"/>
                <w:sz w:val="24"/>
                <w:szCs w:val="24"/>
              </w:rPr>
              <w:t>—核算时段内灰渣产生量，t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R—核算时段内</w:t>
            </w:r>
            <w:r>
              <w:rPr>
                <w:rFonts w:hint="eastAsia"/>
                <w:bCs/>
                <w:color w:val="auto"/>
                <w:spacing w:val="-10"/>
                <w:sz w:val="24"/>
                <w:szCs w:val="24"/>
              </w:rPr>
              <w:t>热风</w:t>
            </w:r>
            <w:r>
              <w:rPr>
                <w:bCs/>
                <w:color w:val="auto"/>
                <w:spacing w:val="-10"/>
                <w:sz w:val="24"/>
                <w:szCs w:val="24"/>
              </w:rPr>
              <w:t>炉燃料耗量，</w:t>
            </w:r>
            <w:r>
              <w:rPr>
                <w:rFonts w:hint="eastAsia"/>
                <w:bCs/>
                <w:color w:val="auto"/>
                <w:spacing w:val="-10"/>
                <w:sz w:val="24"/>
                <w:szCs w:val="24"/>
                <w:lang w:val="en-US" w:eastAsia="zh-CN"/>
              </w:rPr>
              <w:t>702</w:t>
            </w:r>
            <w:r>
              <w:rPr>
                <w:bCs/>
                <w:color w:val="auto"/>
                <w:spacing w:val="-10"/>
                <w:sz w:val="24"/>
                <w:szCs w:val="24"/>
              </w:rPr>
              <w:t>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A</w:t>
            </w:r>
            <w:r>
              <w:rPr>
                <w:bCs/>
                <w:color w:val="auto"/>
                <w:spacing w:val="-10"/>
                <w:sz w:val="24"/>
                <w:szCs w:val="24"/>
                <w:vertAlign w:val="subscript"/>
              </w:rPr>
              <w:t>ar</w:t>
            </w:r>
            <w:r>
              <w:rPr>
                <w:bCs/>
                <w:color w:val="auto"/>
                <w:spacing w:val="-10"/>
                <w:sz w:val="24"/>
                <w:szCs w:val="24"/>
              </w:rPr>
              <w:t>—收到基灰分的质量分数，</w:t>
            </w:r>
            <w:r>
              <w:rPr>
                <w:rFonts w:hint="eastAsia" w:ascii="Times New Roman" w:hAnsi="Times New Roman" w:eastAsia="宋体" w:cs="Times New Roman"/>
                <w:color w:val="auto"/>
                <w:kern w:val="0"/>
                <w:sz w:val="24"/>
                <w:szCs w:val="20"/>
                <w:lang w:val="en-US" w:eastAsia="zh-CN" w:bidi="ar-SA"/>
              </w:rPr>
              <w:t>Aar=Aad×(100-Mar)/(100-Mad)</w:t>
            </w:r>
            <w:r>
              <w:rPr>
                <w:rFonts w:hint="eastAsia" w:cs="Times New Roman"/>
                <w:color w:val="auto"/>
                <w:kern w:val="0"/>
                <w:sz w:val="24"/>
                <w:szCs w:val="20"/>
                <w:lang w:val="en-US" w:eastAsia="zh-CN" w:bidi="ar-SA"/>
              </w:rPr>
              <w:t>=6.56×（100-5.5）×（100-5.55）=6.56，本项目取</w:t>
            </w:r>
            <w:r>
              <w:rPr>
                <w:color w:val="auto"/>
                <w:sz w:val="24"/>
              </w:rPr>
              <w:t>6.56</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net，ar</w:t>
            </w:r>
            <w:r>
              <w:rPr>
                <w:bCs/>
                <w:color w:val="auto"/>
                <w:spacing w:val="-10"/>
                <w:sz w:val="24"/>
                <w:szCs w:val="24"/>
              </w:rPr>
              <w:t>—燃料收到基低位发热量，</w:t>
            </w:r>
            <w:r>
              <w:rPr>
                <w:rFonts w:hint="eastAsia"/>
                <w:bCs/>
                <w:color w:val="auto"/>
                <w:spacing w:val="-10"/>
                <w:sz w:val="24"/>
                <w:szCs w:val="24"/>
                <w:lang w:val="en-US" w:eastAsia="zh-CN"/>
              </w:rPr>
              <w:t>16770K</w:t>
            </w:r>
            <w:r>
              <w:rPr>
                <w:bCs/>
                <w:color w:val="auto"/>
                <w:spacing w:val="-10"/>
                <w:sz w:val="24"/>
                <w:szCs w:val="24"/>
              </w:rPr>
              <w:t>J/kg</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4</w:t>
            </w:r>
            <w:r>
              <w:rPr>
                <w:bCs/>
                <w:color w:val="auto"/>
                <w:spacing w:val="-10"/>
                <w:sz w:val="24"/>
                <w:szCs w:val="24"/>
              </w:rPr>
              <w:t>—锅炉机械不完全燃烧热损失，</w:t>
            </w:r>
            <w:r>
              <w:rPr>
                <w:rFonts w:hint="eastAsia"/>
                <w:bCs/>
                <w:color w:val="auto"/>
                <w:spacing w:val="-10"/>
                <w:sz w:val="24"/>
                <w:szCs w:val="24"/>
                <w:lang w:val="en-US" w:eastAsia="zh-CN"/>
              </w:rPr>
              <w:t>10</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rFonts w:hint="default" w:eastAsia="宋体"/>
                <w:bCs/>
                <w:color w:val="auto"/>
                <w:spacing w:val="-10"/>
                <w:sz w:val="24"/>
                <w:szCs w:val="24"/>
                <w:lang w:val="en-US" w:eastAsia="zh-CN"/>
              </w:rPr>
            </w:pPr>
            <w:r>
              <w:rPr>
                <w:bCs/>
                <w:color w:val="auto"/>
                <w:spacing w:val="-10"/>
                <w:sz w:val="24"/>
                <w:szCs w:val="24"/>
              </w:rPr>
              <w:t>经计算得出年</w:t>
            </w:r>
            <w:r>
              <w:rPr>
                <w:rFonts w:hint="eastAsia"/>
                <w:bCs/>
                <w:color w:val="auto"/>
                <w:spacing w:val="-10"/>
                <w:sz w:val="24"/>
                <w:szCs w:val="24"/>
              </w:rPr>
              <w:t>热风炉</w:t>
            </w:r>
            <w:r>
              <w:rPr>
                <w:bCs/>
                <w:color w:val="auto"/>
                <w:spacing w:val="-10"/>
                <w:sz w:val="24"/>
                <w:szCs w:val="24"/>
              </w:rPr>
              <w:t>灰渣量E</w:t>
            </w:r>
            <w:r>
              <w:rPr>
                <w:bCs/>
                <w:color w:val="auto"/>
                <w:spacing w:val="-10"/>
                <w:sz w:val="24"/>
                <w:szCs w:val="24"/>
                <w:vertAlign w:val="subscript"/>
              </w:rPr>
              <w:t>hz</w:t>
            </w:r>
            <w:r>
              <w:rPr>
                <w:bCs/>
                <w:color w:val="auto"/>
                <w:spacing w:val="-10"/>
                <w:sz w:val="24"/>
                <w:szCs w:val="24"/>
              </w:rPr>
              <w:t>=</w:t>
            </w:r>
            <w:r>
              <w:rPr>
                <w:rFonts w:hint="eastAsia"/>
                <w:bCs/>
                <w:color w:val="auto"/>
                <w:spacing w:val="-10"/>
                <w:sz w:val="24"/>
                <w:szCs w:val="24"/>
                <w:lang w:val="en-US" w:eastAsia="zh-CN"/>
              </w:rPr>
              <w:t>80.8t/a</w:t>
            </w:r>
          </w:p>
          <w:p>
            <w:pPr>
              <w:pStyle w:val="19"/>
              <w:keepNext w:val="0"/>
              <w:keepLines w:val="0"/>
              <w:pageBreakBefore w:val="0"/>
              <w:kinsoku/>
              <w:wordWrap/>
              <w:overflowPunct/>
              <w:topLinePunct w:val="0"/>
              <w:autoSpaceDE/>
              <w:autoSpaceDN/>
              <w:bidi w:val="0"/>
              <w:spacing w:after="0" w:afterLines="0" w:line="360" w:lineRule="auto"/>
              <w:ind w:left="0" w:leftChars="0" w:right="0" w:rightChars="0" w:firstLine="440" w:firstLineChars="200"/>
              <w:rPr>
                <w:rFonts w:hint="default"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热风炉布袋除尘器收尘量=</w:t>
            </w:r>
            <w:r>
              <w:rPr>
                <w:rFonts w:hint="eastAsia" w:cs="Times New Roman"/>
                <w:bCs/>
                <w:color w:val="auto"/>
                <w:spacing w:val="-10"/>
                <w:kern w:val="2"/>
                <w:sz w:val="24"/>
                <w:szCs w:val="24"/>
                <w:lang w:val="en-US" w:eastAsia="zh-CN" w:bidi="ar-SA"/>
              </w:rPr>
              <w:t>24.307</w:t>
            </w:r>
            <w:r>
              <w:rPr>
                <w:rFonts w:hint="eastAsia" w:ascii="Times New Roman" w:hAnsi="Times New Roman" w:eastAsia="宋体" w:cs="Times New Roman"/>
                <w:bCs/>
                <w:color w:val="auto"/>
                <w:spacing w:val="-10"/>
                <w:kern w:val="2"/>
                <w:sz w:val="24"/>
                <w:szCs w:val="24"/>
                <w:lang w:val="en-US" w:eastAsia="zh-CN" w:bidi="ar-SA"/>
              </w:rPr>
              <w:t>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color w:val="auto"/>
                <w:sz w:val="24"/>
                <w:szCs w:val="24"/>
                <w:highlight w:val="none"/>
              </w:rPr>
              <w:t>布袋除尘器及热风炉底定期清理，清理后直接装袋，灰渣库临时堆放，</w:t>
            </w:r>
            <w:r>
              <w:rPr>
                <w:rFonts w:hint="default" w:ascii="Times New Roman" w:hAnsi="Times New Roman" w:eastAsia="宋体" w:cs="Times New Roman"/>
                <w:bCs/>
                <w:color w:val="auto"/>
                <w:spacing w:val="-10"/>
                <w:sz w:val="24"/>
                <w:szCs w:val="24"/>
                <w:highlight w:val="none"/>
                <w:lang w:val="en-US" w:eastAsia="zh-CN"/>
              </w:rPr>
              <w:t>外售综合利用。</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《一般固体废物分类与代码》（GB/T39198-2020）</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443-001-64</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7</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0.07</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4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ascii="Times New Roman" w:hAnsi="Times New Roman" w:eastAsia="宋体"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）装卸、输送</w:t>
            </w:r>
            <w:r>
              <w:rPr>
                <w:rFonts w:hint="eastAsia"/>
                <w:color w:val="auto"/>
                <w:lang w:eastAsia="zh-CN"/>
              </w:rPr>
              <w:t>、</w:t>
            </w:r>
            <w:r>
              <w:rPr>
                <w:rFonts w:hint="eastAsia"/>
                <w:color w:val="auto"/>
                <w:sz w:val="24"/>
                <w:szCs w:val="24"/>
                <w:lang w:eastAsia="zh-CN"/>
              </w:rPr>
              <w:t>烘干塔</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，年回收粉尘量为</w:t>
            </w:r>
            <w:r>
              <w:rPr>
                <w:rFonts w:hint="eastAsia" w:cs="Times New Roman"/>
                <w:color w:val="auto"/>
                <w:sz w:val="24"/>
                <w:szCs w:val="24"/>
                <w:highlight w:val="none"/>
                <w:lang w:val="en-US" w:eastAsia="zh-CN"/>
              </w:rPr>
              <w:t>4.714</w:t>
            </w:r>
            <w:r>
              <w:rPr>
                <w:rFonts w:hint="default" w:ascii="Times New Roman" w:hAnsi="Times New Roman" w:eastAsia="宋体" w:cs="Times New Roman"/>
                <w:bCs/>
                <w:color w:val="auto"/>
                <w:spacing w:val="-10"/>
                <w:sz w:val="24"/>
                <w:szCs w:val="24"/>
                <w:highlight w:val="none"/>
                <w:lang w:val="en-US" w:eastAsia="zh-CN"/>
              </w:rPr>
              <w:t>t/a，集中收集，交由市政环卫部门处理。</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《一般固体废物分类与代码》（GB/T39198-2020）</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051-004-66</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本项目热风炉环保措施采用布袋除尘器，布袋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年换一次，产生废布袋（代码051-004-99）0.02t/a，由除尘器厂家检修后直接带走。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（6）不合格粮食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本项目粮食烘干后仍会有不合格粮食，不合格粮食产生量为1t/a，外售给周边农户。代码为</w:t>
            </w:r>
            <w:r>
              <w:rPr>
                <w:rFonts w:hint="default" w:ascii="Times New Roman" w:hAnsi="Times New Roman" w:eastAsia="宋体" w:cs="Times New Roman"/>
                <w:color w:val="auto"/>
                <w:kern w:val="2"/>
                <w:sz w:val="24"/>
                <w:szCs w:val="24"/>
                <w:highlight w:val="none"/>
                <w:lang w:val="en-US" w:eastAsia="zh-CN" w:bidi="ar-SA"/>
              </w:rPr>
              <w:t>051-004-99</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default" w:ascii="Times New Roman" w:hAnsi="Times New Roman" w:eastAsia="宋体" w:cs="Times New Roman"/>
                <w:bCs/>
                <w:color w:val="auto"/>
                <w:spacing w:val="-10"/>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pStyle w:val="83"/>
              <w:keepNext w:val="0"/>
              <w:keepLines w:val="0"/>
              <w:pageBreakBefore w:val="0"/>
              <w:widowControl w:val="0"/>
              <w:tabs>
                <w:tab w:val="clear" w:pos="605"/>
              </w:tabs>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 xml:space="preserve"> 固体废物污染源源强核算结果及相关参数一览表</w:t>
            </w:r>
          </w:p>
          <w:tbl>
            <w:tblPr>
              <w:tblStyle w:val="30"/>
              <w:tblW w:w="76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95"/>
              <w:gridCol w:w="1075"/>
              <w:gridCol w:w="1225"/>
              <w:gridCol w:w="1263"/>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295"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30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295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141"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w:t>
                  </w:r>
                </w:p>
              </w:tc>
              <w:tc>
                <w:tcPr>
                  <w:tcW w:w="1263"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4.714</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4.714</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沙泥</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80.8</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80.8</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除尘灰</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bCs/>
                      <w:color w:val="auto"/>
                      <w:spacing w:val="-10"/>
                      <w:kern w:val="2"/>
                      <w:sz w:val="21"/>
                      <w:szCs w:val="21"/>
                      <w:lang w:val="en-US" w:eastAsia="zh-CN" w:bidi="ar-SA"/>
                    </w:rPr>
                    <w:t>24.307</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bCs/>
                      <w:color w:val="auto"/>
                      <w:spacing w:val="-10"/>
                      <w:kern w:val="2"/>
                      <w:sz w:val="21"/>
                      <w:szCs w:val="21"/>
                      <w:lang w:val="en-US" w:eastAsia="zh-CN" w:bidi="ar-SA"/>
                    </w:rPr>
                    <w:t>24.307</w:t>
                  </w:r>
                </w:p>
              </w:tc>
              <w:tc>
                <w:tcPr>
                  <w:tcW w:w="1687" w:type="dxa"/>
                  <w:tcBorders>
                    <w:tl2br w:val="nil"/>
                    <w:tr2bl w:val="nil"/>
                  </w:tcBorders>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不合格粮食</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22" w:name="_Toc12807"/>
      <w:bookmarkStart w:id="23" w:name="_Toc12480"/>
      <w:r>
        <w:rPr>
          <w:rFonts w:hint="default" w:ascii="Times New Roman" w:hAnsi="Times New Roman" w:eastAsia="黑体" w:cs="Times New Roman"/>
          <w:snapToGrid w:val="0"/>
          <w:color w:val="auto"/>
          <w:sz w:val="30"/>
          <w:szCs w:val="30"/>
        </w:rPr>
        <w:t>五、</w:t>
      </w:r>
      <w:bookmarkStart w:id="24" w:name="_Hlk54167917"/>
      <w:r>
        <w:rPr>
          <w:rFonts w:hint="default" w:ascii="Times New Roman" w:hAnsi="Times New Roman" w:eastAsia="黑体" w:cs="Times New Roman"/>
          <w:snapToGrid w:val="0"/>
          <w:color w:val="auto"/>
          <w:sz w:val="30"/>
          <w:szCs w:val="30"/>
        </w:rPr>
        <w:t>环境保护措施监督检查清单</w:t>
      </w:r>
      <w:bookmarkEnd w:id="22"/>
      <w:bookmarkEnd w:id="23"/>
      <w:bookmarkEnd w:id="24"/>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811"/>
        <w:gridCol w:w="1527"/>
        <w:gridCol w:w="2682"/>
        <w:gridCol w:w="1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93" w:type="dxa"/>
            <w:tcBorders>
              <w:tl2br w:val="single" w:color="auto" w:sz="4" w:space="0"/>
            </w:tcBorders>
            <w:noWrap w:val="0"/>
            <w:vAlign w:val="top"/>
          </w:tcPr>
          <w:p>
            <w:pPr>
              <w:adjustRightInd w:val="0"/>
              <w:snapToGrid w:val="0"/>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排放口(编号、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名称)/污染源</w:t>
            </w:r>
          </w:p>
        </w:tc>
        <w:tc>
          <w:tcPr>
            <w:tcW w:w="152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92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693" w:type="dxa"/>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装卸、筛分、输送</w:t>
            </w:r>
            <w:r>
              <w:rPr>
                <w:rFonts w:hint="eastAsia" w:ascii="Times New Roman" w:hAnsi="Times New Roman" w:eastAsia="宋体" w:cs="Times New Roman"/>
                <w:color w:val="auto"/>
                <w:sz w:val="24"/>
                <w:szCs w:val="24"/>
                <w:lang w:val="en-US" w:eastAsia="zh-CN"/>
              </w:rPr>
              <w:t>、</w:t>
            </w:r>
            <w:r>
              <w:rPr>
                <w:rFonts w:hint="eastAsia"/>
                <w:color w:val="auto"/>
                <w:sz w:val="24"/>
                <w:szCs w:val="24"/>
                <w:lang w:eastAsia="zh-CN"/>
              </w:rPr>
              <w:t>烘干塔</w:t>
            </w:r>
            <w:r>
              <w:rPr>
                <w:rFonts w:hint="default" w:ascii="Times New Roman" w:hAnsi="Times New Roman" w:eastAsia="宋体" w:cs="Times New Roman"/>
                <w:color w:val="auto"/>
                <w:sz w:val="24"/>
                <w:szCs w:val="24"/>
                <w:lang w:val="en-US" w:eastAsia="zh-CN"/>
              </w:rPr>
              <w:t>等过程</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tc>
        <w:tc>
          <w:tcPr>
            <w:tcW w:w="2682"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aps w:val="0"/>
                <w:smallCaps w:val="0"/>
                <w:snapToGrid w:val="0"/>
                <w:color w:val="auto"/>
                <w:kern w:val="0"/>
                <w:sz w:val="24"/>
                <w:szCs w:val="24"/>
                <w:highlight w:val="none"/>
                <w:lang w:val="en-US" w:eastAsia="zh-CN" w:bidi="ar-SA"/>
              </w:rPr>
              <w:t>封闭传送带，装卸区设置遮挡设施，</w:t>
            </w:r>
            <w:r>
              <w:rPr>
                <w:rFonts w:hint="default" w:ascii="Times New Roman" w:hAnsi="Times New Roman" w:cs="Times New Roman"/>
                <w:color w:val="auto"/>
                <w:sz w:val="24"/>
                <w:szCs w:val="24"/>
                <w:lang w:val="en-US" w:eastAsia="zh-CN"/>
              </w:rPr>
              <w:t>采用封闭式清理筛，</w:t>
            </w:r>
            <w:r>
              <w:rPr>
                <w:rFonts w:hint="eastAsia" w:ascii="Times New Roman" w:hAnsi="Times New Roman" w:eastAsia="宋体" w:cs="Times New Roman"/>
                <w:b w:val="0"/>
                <w:bCs w:val="0"/>
                <w:i w:val="0"/>
                <w:iCs w:val="0"/>
                <w:color w:val="auto"/>
                <w:spacing w:val="0"/>
                <w:kern w:val="0"/>
                <w:sz w:val="24"/>
                <w:szCs w:val="24"/>
                <w:lang w:val="en-US" w:eastAsia="zh-CN"/>
              </w:rPr>
              <w:t>烘干塔体两侧排气孔设置折流挡板</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工业炉窑周边</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颗粒物</w:t>
            </w:r>
          </w:p>
        </w:tc>
        <w:tc>
          <w:tcPr>
            <w:tcW w:w="2682" w:type="dxa"/>
            <w:noWrap w:val="0"/>
            <w:vAlign w:val="center"/>
          </w:tcPr>
          <w:p>
            <w:pPr>
              <w:jc w:val="center"/>
              <w:rPr>
                <w:rFonts w:hint="default" w:ascii="Times New Roman" w:hAnsi="Times New Roman" w:eastAsia="宋体" w:cs="Times New Roman"/>
                <w:caps w:val="0"/>
                <w:smallCaps w:val="0"/>
                <w:snapToGrid w:val="0"/>
                <w:color w:val="auto"/>
                <w:kern w:val="0"/>
                <w:sz w:val="24"/>
                <w:szCs w:val="24"/>
                <w:highlight w:val="none"/>
                <w:lang w:val="en-US" w:eastAsia="zh-CN" w:bidi="ar-SA"/>
              </w:rPr>
            </w:pPr>
            <w:r>
              <w:rPr>
                <w:rFonts w:hint="eastAsia" w:cs="Times New Roman"/>
                <w:caps w:val="0"/>
                <w:smallCaps w:val="0"/>
                <w:snapToGrid w:val="0"/>
                <w:color w:val="auto"/>
                <w:kern w:val="0"/>
                <w:sz w:val="24"/>
                <w:szCs w:val="24"/>
                <w:highlight w:val="none"/>
                <w:lang w:val="en-US" w:eastAsia="zh-CN" w:bidi="ar-SA"/>
              </w:rPr>
              <w:t>/</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《工业炉窑大气污染物排放标准》（GB9078-1996）表</w:t>
            </w:r>
            <w:r>
              <w:rPr>
                <w:rFonts w:hint="eastAsia" w:ascii="Times New Roman" w:hAnsi="Times New Roman" w:eastAsia="宋体" w:cs="Times New Roman"/>
                <w:color w:val="auto"/>
                <w:sz w:val="24"/>
                <w:szCs w:val="24"/>
                <w:lang w:val="en-US" w:eastAsia="zh-CN"/>
              </w:rPr>
              <w:t>3标准要求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restar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热风炉烟囱</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（有组织）</w:t>
            </w:r>
          </w:p>
        </w:tc>
        <w:tc>
          <w:tcPr>
            <w:tcW w:w="1527"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颗粒物</w:t>
            </w:r>
          </w:p>
        </w:tc>
        <w:tc>
          <w:tcPr>
            <w:tcW w:w="2682"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布袋除尘器</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15m高烟囱</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《工业炉窑大气污染物排放标准》（GB9078-1996）表2、表4中标准要求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烟气黑度</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氮氧化物</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6"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氨氮</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、SS、动植物油</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lang w:val="en-US" w:eastAsia="zh-CN"/>
              </w:rPr>
              <w:t>排入厂内防渗旱厕，定期清掏，堆肥处置</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清粮筛分机、输送机、风机、烘干塔等设备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机械噪声</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选用低噪声设备，噪声设备装设减振垫，风机进风口装设</w:t>
            </w:r>
            <w:r>
              <w:rPr>
                <w:rFonts w:hint="eastAsia" w:cs="Times New Roman"/>
                <w:color w:val="auto"/>
                <w:sz w:val="24"/>
                <w:szCs w:val="24"/>
                <w:lang w:eastAsia="zh-CN"/>
              </w:rPr>
              <w:t>消声器</w:t>
            </w:r>
            <w:r>
              <w:rPr>
                <w:rFonts w:hint="default" w:ascii="Times New Roman" w:hAnsi="Times New Roman" w:cs="Times New Roman"/>
                <w:color w:val="auto"/>
                <w:sz w:val="24"/>
                <w:szCs w:val="24"/>
              </w:rPr>
              <w:t>，再通过厂房隔声等措施</w:t>
            </w:r>
          </w:p>
        </w:tc>
        <w:tc>
          <w:tcPr>
            <w:tcW w:w="192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《工业企业厂界环境噪声排放标准》（GB12348-2008）表1中</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highlight w:val="none"/>
                <w:lang w:val="en-US" w:eastAsia="zh-CN"/>
              </w:rPr>
              <w:t>生活垃圾、清理原粮中的杂质（泥沙）集中收集，依托当地环卫部门统一收集处理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pacing w:val="-10"/>
                <w:sz w:val="24"/>
                <w:szCs w:val="24"/>
                <w:highlight w:val="none"/>
                <w:lang w:val="en-US" w:eastAsia="zh-CN"/>
              </w:rPr>
              <w:t>炉渣、除尘灰集中收集，外售综合利用。装卸、筛分、输送</w:t>
            </w:r>
            <w:r>
              <w:rPr>
                <w:rFonts w:hint="eastAsia" w:ascii="Times New Roman" w:hAnsi="Times New Roman" w:eastAsia="宋体" w:cs="Times New Roman"/>
                <w:bCs/>
                <w:color w:val="auto"/>
                <w:spacing w:val="-10"/>
                <w:sz w:val="24"/>
                <w:szCs w:val="24"/>
                <w:highlight w:val="none"/>
                <w:lang w:val="en-US" w:eastAsia="zh-CN"/>
              </w:rPr>
              <w:t>、</w:t>
            </w:r>
            <w:r>
              <w:rPr>
                <w:rFonts w:hint="eastAsia"/>
                <w:color w:val="auto"/>
                <w:sz w:val="24"/>
                <w:szCs w:val="24"/>
                <w:lang w:eastAsia="zh-CN"/>
              </w:rPr>
              <w:t>烘干塔运行</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，集中收集，交由市政环卫部门处理。</w:t>
            </w:r>
            <w:r>
              <w:rPr>
                <w:rFonts w:hint="eastAsia" w:cs="Times New Roman"/>
                <w:bCs/>
                <w:color w:val="auto"/>
                <w:spacing w:val="-10"/>
                <w:sz w:val="24"/>
                <w:szCs w:val="24"/>
                <w:highlight w:val="none"/>
                <w:lang w:val="en-US" w:eastAsia="zh-CN"/>
              </w:rPr>
              <w:t>废布袋由厂家回收处置，产生的不合格粮食外售给周边农户。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7945" w:type="dxa"/>
            <w:gridSpan w:val="4"/>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1693" w:type="dxa"/>
            <w:noWrap w:val="0"/>
            <w:vAlign w:val="center"/>
          </w:tcPr>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eastAsia"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加强操作人员的岗位培训，严格遵守规程。对事故易发处按规定时间巡检，发现问题及早解决。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1693"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7945" w:type="dxa"/>
            <w:gridSpan w:val="4"/>
            <w:noWrap w:val="0"/>
            <w:vAlign w:val="center"/>
          </w:tcPr>
          <w:p>
            <w:pPr>
              <w:adjustRightInd w:val="0"/>
              <w:snapToGrid w:val="0"/>
              <w:jc w:val="center"/>
              <w:rPr>
                <w:rFonts w:hint="default" w:ascii="Times New Roman" w:hAnsi="Times New Roman" w:eastAsia="宋体" w:cs="Times New Roman"/>
                <w:color w:val="auto"/>
                <w:sz w:val="24"/>
                <w:szCs w:val="24"/>
              </w:rPr>
            </w:pPr>
            <w:r>
              <w:rPr>
                <w:rFonts w:ascii="Times New Roman" w:hAnsi="Times New Roman" w:eastAsia="宋体"/>
                <w:color w:val="auto"/>
                <w:sz w:val="24"/>
                <w:szCs w:val="24"/>
                <w:highlight w:val="none"/>
              </w:rPr>
              <w:t>本项目属于《固定污染源排污许可分类管理名录（2019年版）》中</w:t>
            </w:r>
            <w:r>
              <w:rPr>
                <w:rFonts w:hint="eastAsia" w:ascii="Times New Roman" w:hAnsi="Times New Roman" w:eastAsia="宋体"/>
                <w:color w:val="auto"/>
                <w:sz w:val="24"/>
                <w:szCs w:val="24"/>
                <w:highlight w:val="none"/>
                <w:lang w:val="en-US" w:eastAsia="zh-CN"/>
              </w:rPr>
              <w:t>五一中110</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工业炉窑，除纳入重点排污单位名录的，除以天然气或者电为能源的加热炉，热处理炉，干燥炉窑以外的其他工业炉窑</w:t>
            </w:r>
            <w:r>
              <w:rPr>
                <w:rFonts w:ascii="Times New Roman" w:hAnsi="Times New Roman" w:eastAsia="宋体"/>
                <w:color w:val="auto"/>
                <w:sz w:val="24"/>
                <w:szCs w:val="24"/>
                <w:highlight w:val="none"/>
              </w:rPr>
              <w:t>，因此实行</w:t>
            </w:r>
            <w:r>
              <w:rPr>
                <w:rFonts w:hint="eastAsia" w:ascii="Times New Roman" w:hAnsi="Times New Roman" w:eastAsia="宋体"/>
                <w:color w:val="auto"/>
                <w:sz w:val="24"/>
                <w:szCs w:val="24"/>
                <w:highlight w:val="none"/>
                <w:lang w:val="en-US" w:eastAsia="zh-CN"/>
              </w:rPr>
              <w:t>简化管理</w:t>
            </w:r>
            <w:r>
              <w:rPr>
                <w:rFonts w:ascii="Times New Roman" w:hAnsi="Times New Roman" w:eastAsia="宋体"/>
                <w:color w:val="auto"/>
                <w:sz w:val="24"/>
                <w:szCs w:val="24"/>
                <w:highlight w:val="none"/>
              </w:rPr>
              <w:t>。</w:t>
            </w: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25" w:name="_Toc12350"/>
      <w:bookmarkStart w:id="26" w:name="_Toc30963"/>
      <w:r>
        <w:rPr>
          <w:rFonts w:hint="default" w:ascii="Times New Roman" w:hAnsi="Times New Roman" w:eastAsia="黑体" w:cs="Times New Roman"/>
          <w:snapToGrid w:val="0"/>
          <w:color w:val="auto"/>
          <w:sz w:val="30"/>
          <w:szCs w:val="30"/>
        </w:rPr>
        <w:t>六、结论</w:t>
      </w:r>
      <w:bookmarkEnd w:id="25"/>
      <w:bookmarkEnd w:id="26"/>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4"/>
                <w:szCs w:val="24"/>
                <w:highlight w:val="none"/>
                <w:lang w:eastAsia="zh-CN"/>
              </w:rPr>
              <w:t>本项目运营中将会对评价范围的地表水环境、环境空气、声环境产生一定的不利影响，本项目在确保严格落实本报告表提出的污染物防治措施的前提下，对地表水环境、环境空气、声环境等的影响较小，可以被周围环境所接受，能够做到社会效益、经济效益和环境效益的统一。因此，本项目的建设从环境保护的角度而言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28"/>
          <w:szCs w:val="28"/>
        </w:rPr>
      </w:pPr>
      <w:bookmarkStart w:id="27" w:name="_Toc30034"/>
      <w:bookmarkStart w:id="28" w:name="_Toc4565"/>
      <w:r>
        <w:rPr>
          <w:rFonts w:hint="default" w:ascii="Times New Roman" w:hAnsi="Times New Roman" w:eastAsia="黑体" w:cs="Times New Roman"/>
          <w:snapToGrid w:val="0"/>
          <w:color w:val="auto"/>
          <w:sz w:val="32"/>
          <w:szCs w:val="32"/>
        </w:rPr>
        <w:t>附表</w:t>
      </w:r>
      <w:bookmarkEnd w:id="27"/>
      <w:bookmarkEnd w:id="28"/>
    </w:p>
    <w:p>
      <w:pPr>
        <w:bidi w:val="0"/>
        <w:jc w:val="center"/>
        <w:outlineLvl w:val="0"/>
        <w:rPr>
          <w:rFonts w:hint="default" w:ascii="Times New Roman" w:hAnsi="Times New Roman" w:cs="Times New Roman"/>
          <w:color w:val="auto"/>
          <w:sz w:val="28"/>
          <w:szCs w:val="28"/>
          <w:lang w:val="en-US" w:eastAsia="zh-CN"/>
        </w:rPr>
      </w:pPr>
      <w:bookmarkStart w:id="29" w:name="_Toc2971"/>
      <w:bookmarkStart w:id="30" w:name="_Toc27572"/>
      <w:bookmarkStart w:id="31" w:name="_Toc3439"/>
      <w:bookmarkStart w:id="32" w:name="_Toc15726"/>
      <w:bookmarkStart w:id="33" w:name="_Toc6734"/>
      <w:r>
        <w:rPr>
          <w:rFonts w:hint="default" w:ascii="Times New Roman" w:hAnsi="Times New Roman" w:cs="Times New Roman"/>
          <w:color w:val="auto"/>
          <w:sz w:val="28"/>
          <w:szCs w:val="28"/>
        </w:rPr>
        <w:t>建设项目污染物排放量汇总表</w:t>
      </w:r>
      <w:bookmarkEnd w:id="29"/>
      <w:bookmarkEnd w:id="30"/>
      <w:bookmarkEnd w:id="31"/>
      <w:bookmarkEnd w:id="32"/>
      <w:bookmarkEnd w:id="33"/>
    </w:p>
    <w:p>
      <w:pPr>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 t/a</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73"/>
        <w:gridCol w:w="1701"/>
        <w:gridCol w:w="1276"/>
        <w:gridCol w:w="1701"/>
        <w:gridCol w:w="1559"/>
        <w:gridCol w:w="1761"/>
        <w:gridCol w:w="1766"/>
        <w:gridCol w:w="1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tcBorders>
              <w:tl2br w:val="single" w:color="auto" w:sz="4" w:space="0"/>
            </w:tcBorders>
            <w:noWrap w:val="0"/>
            <w:tcMar>
              <w:left w:w="28" w:type="dxa"/>
              <w:right w:w="28" w:type="dxa"/>
            </w:tcMar>
            <w:vAlign w:val="center"/>
          </w:tcPr>
          <w:p>
            <w:pPr>
              <w:pStyle w:val="57"/>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57"/>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3"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57"/>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6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1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废气</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0.624</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0.624</w:t>
            </w:r>
          </w:p>
        </w:tc>
        <w:tc>
          <w:tcPr>
            <w:tcW w:w="1019" w:type="dxa"/>
            <w:noWrap w:val="0"/>
            <w:vAlign w:val="center"/>
          </w:tcPr>
          <w:p>
            <w:pPr>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+0.624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颗粒物（烟尘）</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0.073 </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0.073 </w:t>
            </w:r>
          </w:p>
        </w:tc>
        <w:tc>
          <w:tcPr>
            <w:tcW w:w="10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0.073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二氧化硫</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0.101 </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0.101 </w:t>
            </w:r>
          </w:p>
        </w:tc>
        <w:tc>
          <w:tcPr>
            <w:tcW w:w="10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0.101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氮氧化物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10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0.943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一般工业</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固体废物</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粉尘</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4.714</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4.714</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+4.714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沙泥</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灰渣</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80.8</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80.8</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+80.8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除尘灰</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pacing w:val="-10"/>
                <w:kern w:val="2"/>
                <w:sz w:val="21"/>
                <w:szCs w:val="21"/>
                <w:lang w:val="en-US" w:eastAsia="zh-CN" w:bidi="ar-SA"/>
              </w:rPr>
              <w:t>24.307</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Cs/>
                <w:color w:val="auto"/>
                <w:spacing w:val="-10"/>
                <w:kern w:val="2"/>
                <w:sz w:val="21"/>
                <w:szCs w:val="21"/>
                <w:lang w:val="en-US" w:eastAsia="zh-CN" w:bidi="ar-SA"/>
              </w:rPr>
              <w:t>24.307</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Cs/>
                <w:color w:val="auto"/>
                <w:spacing w:val="-10"/>
                <w:kern w:val="2"/>
                <w:sz w:val="21"/>
                <w:szCs w:val="21"/>
                <w:lang w:val="en-US" w:eastAsia="zh-CN" w:bidi="ar-SA"/>
              </w:rPr>
              <w:t>+24.307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废布袋</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不合格粮食</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76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01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生活垃圾</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生活垃圾</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0.07</w:t>
            </w:r>
          </w:p>
        </w:tc>
        <w:tc>
          <w:tcPr>
            <w:tcW w:w="1761"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0.07</w:t>
            </w:r>
          </w:p>
        </w:tc>
        <w:tc>
          <w:tcPr>
            <w:tcW w:w="1019" w:type="dxa"/>
            <w:shd w:val="clear" w:color="auto" w:fill="auto"/>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+0.07</w:t>
            </w:r>
          </w:p>
        </w:tc>
      </w:tr>
    </w:tbl>
    <w:p>
      <w:pPr>
        <w:pStyle w:val="57"/>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ascii="Times New Roman" w:hAnsi="Times New Roman" w:eastAsia="黑体" w:cs="Times New Roman"/>
          <w:color w:val="auto"/>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6132830</wp:posOffset>
                </wp:positionH>
                <wp:positionV relativeFrom="paragraph">
                  <wp:posOffset>2213610</wp:posOffset>
                </wp:positionV>
                <wp:extent cx="995045" cy="285750"/>
                <wp:effectExtent l="165100" t="5080" r="20955" b="147320"/>
                <wp:wrapNone/>
                <wp:docPr id="7"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62884"/>
                            <a:gd name="adj2" fmla="val 91111"/>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82.9pt;margin-top:174.3pt;height:22.5pt;width:78.35pt;z-index:251663360;mso-width-relative:page;mso-height-relative:page;" filled="f" stroked="t" coordsize="21600,21600" o:gfxdata="UEsDBAoAAAAAAIdO4kAAAAAAAAAAAAAAAAAEAAAAZHJzL1BLAwQUAAAACACHTuJAxX4/X9wAAAAM&#10;AQAADwAAAGRycy9kb3ducmV2LnhtbE2PzU7DMBCE70i8g7VIXBB1krZRGuJUCIkTB9pQkHrbxCaJ&#10;sNeR7f69Pe4Jjjs7mvmmWp+NZkfl/GhJQDpLgCnqrBypF7D7eH0sgPmAJFFbUgIuysO6vr2psJT2&#10;RFt1bELPYgj5EgUMIUwl574blEE/s5Oi+Pu2zmCIp+u5dHiK4UbzLElybnCk2DDgpF4G1f00ByPg&#10;rdgvdq5p8fNh/65xM24uX/ZZiPu7NHkCFtQ5/Jnhih/RoY5MrT2Q9EwLWOXLiB4EzBdFDuzqSLNs&#10;CayN0mqeA68r/n9E/QtQSwMEFAAAAAgAh07iQNvS3yw7AgAASgQAAA4AAABkcnMvZTJvRG9jLnht&#10;bK1UzW4TMRC+I/EOlu/NbkKTJlE3PbSEC4KKwgNMbO+ukf+wnWzCiRviGbhx5B3gbSrBWzD2LmmB&#10;C0L44B3b42+++caz5xd7rchO+CCtqeh4VFIiDLNcmqair16uT+aUhAiGg7JGVPQgAr1YPXxw3rml&#10;mNjWKi48QRATlp2raBujWxZFYK3QEEbWCYOHtfUaIi59U3APHaJrVUzKclZ01nPnLRMh4O5Vf0hX&#10;Gb+uBYvP6zqISFRFkVvMs8/zJs3F6hyWjQfXSjbQgH9goUEaDHqEuoIIZOvlH1BaMm+DreOIWV3Y&#10;upZM5Bwwm3H5WzY3LTiRc0FxgjvKFP4fLHu2u/ZE8oqeUWJAY4m+vf/8/d2H249fb798IuPFNGnU&#10;ubBE1xt37YdVQDMlvK+9Tl9MheyzroejrmIfCcPNxWJank4pYXg0mU/Ppln34u6y8yE+EVaTZFS0&#10;E7wRL7B2l6CU3casLOyehpgl5gNR4K/HlNRaYcV2oMjJbDKfnw4lvec0ue+0GONIPhh+gETrJ4GE&#10;b+xaKpUfhjKkq+jsERImDPB51goimtqhYME0mViwSvJ0JV0OvtlcKk+QT0XX6xLHEOwXtxTvCkLb&#10;++WjnreWUfgcuxXAHxtO4sFhUQx2D01ktOCUKIHNlqzsGUGqv/HEPJXBxFMx+/IlK+43e4RJ5sby&#10;A74GbGcsQmv9W4yIrYGpvtmCx/hgGG5XFDXozcvY99LWedm0eKuXNoHhg80iD82VOuL+OvO4+wWs&#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fj9f3AAAAAwBAAAPAAAAAAAAAAEAIAAAACIAAABk&#10;cnMvZG93bnJldi54bWxQSwECFAAUAAAACACHTuJA29LfLDsCAABKBAAADgAAAAAAAAABACAAAAAr&#10;AQAAZHJzL2Uyb0RvYy54bWxQSwUGAAAAAAYABgBZAQAA2AUAAAAA&#10;" adj="-2783,30480">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rPr>
        <w:drawing>
          <wp:anchor distT="0" distB="0" distL="114300" distR="114300" simplePos="0" relativeHeight="251667456" behindDoc="0" locked="0" layoutInCell="1" allowOverlap="1">
            <wp:simplePos x="0" y="0"/>
            <wp:positionH relativeFrom="column">
              <wp:posOffset>7343775</wp:posOffset>
            </wp:positionH>
            <wp:positionV relativeFrom="paragraph">
              <wp:posOffset>29210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6"/>
                    <a:stretch>
                      <a:fillRect/>
                    </a:stretch>
                  </pic:blipFill>
                  <pic:spPr>
                    <a:xfrm>
                      <a:off x="0" y="0"/>
                      <a:ext cx="855345" cy="829945"/>
                    </a:xfrm>
                    <a:prstGeom prst="rect">
                      <a:avLst/>
                    </a:prstGeom>
                    <a:noFill/>
                    <a:ln>
                      <a:noFill/>
                    </a:ln>
                  </pic:spPr>
                </pic:pic>
              </a:graphicData>
            </a:graphic>
          </wp:anchor>
        </w:drawing>
      </w:r>
      <w:r>
        <w:rPr>
          <w:color w:val="auto"/>
        </w:rPr>
        <w:drawing>
          <wp:inline distT="0" distB="0" distL="114300" distR="114300">
            <wp:extent cx="5534660" cy="4830445"/>
            <wp:effectExtent l="0" t="0" r="889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7"/>
                    <a:stretch>
                      <a:fillRect/>
                    </a:stretch>
                  </pic:blipFill>
                  <pic:spPr>
                    <a:xfrm>
                      <a:off x="0" y="0"/>
                      <a:ext cx="5534660" cy="4830445"/>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0" w:firstLineChars="200"/>
        <w:jc w:val="center"/>
        <w:textAlignment w:val="auto"/>
        <w:outlineLvl w:val="0"/>
        <w:rPr>
          <w:rFonts w:hint="default" w:ascii="Times New Roman" w:hAnsi="Times New Roman" w:eastAsia="黑体" w:cs="Times New Roman"/>
          <w:snapToGrid w:val="0"/>
          <w:color w:val="auto"/>
          <w:sz w:val="32"/>
          <w:szCs w:val="32"/>
          <w:lang w:val="en-US" w:eastAsia="zh-CN"/>
        </w:rPr>
      </w:pPr>
      <w:bookmarkStart w:id="34" w:name="_Toc23128"/>
      <w:bookmarkStart w:id="35" w:name="_Toc18337"/>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lang w:eastAsia="zh-CN"/>
        </w:rPr>
        <w:t>图</w:t>
      </w:r>
      <w:r>
        <w:rPr>
          <w:rFonts w:hint="default" w:ascii="Times New Roman" w:hAnsi="Times New Roman" w:eastAsia="黑体" w:cs="Times New Roman"/>
          <w:snapToGrid w:val="0"/>
          <w:color w:val="auto"/>
          <w:sz w:val="32"/>
          <w:szCs w:val="32"/>
          <w:lang w:val="en-US" w:eastAsia="zh-CN"/>
        </w:rPr>
        <w:t>1 本项目地理位置图</w:t>
      </w:r>
      <w:bookmarkEnd w:id="34"/>
      <w:bookmarkEnd w:id="35"/>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footerReference r:id="rId7"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36" w:name="_Toc23849"/>
      <w:r>
        <w:rPr>
          <w:color w:val="auto"/>
        </w:rPr>
        <w:drawing>
          <wp:anchor distT="0" distB="0" distL="114300" distR="114300" simplePos="0" relativeHeight="251668480" behindDoc="0" locked="0" layoutInCell="1" allowOverlap="1">
            <wp:simplePos x="0" y="0"/>
            <wp:positionH relativeFrom="column">
              <wp:posOffset>5063490</wp:posOffset>
            </wp:positionH>
            <wp:positionV relativeFrom="paragraph">
              <wp:posOffset>-138430</wp:posOffset>
            </wp:positionV>
            <wp:extent cx="855345" cy="829945"/>
            <wp:effectExtent l="0" t="0" r="1905" b="8255"/>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6"/>
                    <a:stretch>
                      <a:fillRect/>
                    </a:stretch>
                  </pic:blipFill>
                  <pic:spPr>
                    <a:xfrm>
                      <a:off x="0" y="0"/>
                      <a:ext cx="855345" cy="829945"/>
                    </a:xfrm>
                    <a:prstGeom prst="rect">
                      <a:avLst/>
                    </a:prstGeom>
                    <a:noFill/>
                    <a:ln>
                      <a:noFill/>
                    </a:ln>
                  </pic:spPr>
                </pic:pic>
              </a:graphicData>
            </a:graphic>
          </wp:anchor>
        </w:drawing>
      </w:r>
      <w:r>
        <w:rPr>
          <w:color w:val="auto"/>
        </w:rPr>
        <w:drawing>
          <wp:inline distT="0" distB="0" distL="114300" distR="114300">
            <wp:extent cx="6184265" cy="4359275"/>
            <wp:effectExtent l="0" t="0" r="6985" b="317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8"/>
                    <a:stretch>
                      <a:fillRect/>
                    </a:stretch>
                  </pic:blipFill>
                  <pic:spPr>
                    <a:xfrm>
                      <a:off x="0" y="0"/>
                      <a:ext cx="6184265" cy="4359275"/>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7" w:name="_Toc18590"/>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highlight w:val="none"/>
          <w:lang w:eastAsia="zh-CN"/>
        </w:rPr>
        <w:t>图</w:t>
      </w:r>
      <w:r>
        <w:rPr>
          <w:rFonts w:hint="default" w:ascii="Times New Roman" w:hAnsi="Times New Roman" w:eastAsia="黑体" w:cs="Times New Roman"/>
          <w:snapToGrid w:val="0"/>
          <w:color w:val="auto"/>
          <w:sz w:val="32"/>
          <w:szCs w:val="32"/>
          <w:highlight w:val="none"/>
          <w:lang w:val="en-US" w:eastAsia="zh-CN"/>
        </w:rPr>
        <w:t>2 厂区总平面布置图</w:t>
      </w:r>
      <w:bookmarkEnd w:id="36"/>
      <w:bookmarkEnd w:id="37"/>
    </w:p>
    <w:p>
      <w:pPr>
        <w:bidi w:val="0"/>
        <w:jc w:val="center"/>
        <w:rPr>
          <w:rFonts w:hint="default" w:ascii="Times New Roman" w:hAnsi="Times New Roman" w:cs="Times New Roman"/>
          <w:color w:val="auto"/>
        </w:rPr>
      </w:pPr>
      <w:r>
        <w:rPr>
          <w:rFonts w:hint="default" w:ascii="Times New Roman" w:hAnsi="Times New Roman" w:cs="Times New Roman"/>
          <w:color w:val="auto"/>
          <w:sz w:val="44"/>
        </w:rPr>
        <mc:AlternateContent>
          <mc:Choice Requires="wps">
            <w:drawing>
              <wp:anchor distT="0" distB="0" distL="114300" distR="114300" simplePos="0" relativeHeight="251662336" behindDoc="0" locked="0" layoutInCell="1" allowOverlap="1">
                <wp:simplePos x="0" y="0"/>
                <wp:positionH relativeFrom="column">
                  <wp:posOffset>4768215</wp:posOffset>
                </wp:positionH>
                <wp:positionV relativeFrom="paragraph">
                  <wp:posOffset>2324735</wp:posOffset>
                </wp:positionV>
                <wp:extent cx="1108710" cy="231140"/>
                <wp:effectExtent l="278130" t="306705" r="22860" b="14605"/>
                <wp:wrapNone/>
                <wp:docPr id="2" name="自选图形 179"/>
                <wp:cNvGraphicFramePr/>
                <a:graphic xmlns:a="http://schemas.openxmlformats.org/drawingml/2006/main">
                  <a:graphicData uri="http://schemas.microsoft.com/office/word/2010/wordprocessingShape">
                    <wps:wsp>
                      <wps:cNvSpPr/>
                      <wps:spPr>
                        <a:xfrm>
                          <a:off x="0" y="0"/>
                          <a:ext cx="1108710" cy="231140"/>
                        </a:xfrm>
                        <a:prstGeom prst="wedgeRectCallout">
                          <a:avLst>
                            <a:gd name="adj1" fmla="val -71991"/>
                            <a:gd name="adj2" fmla="val -174722"/>
                          </a:avLst>
                        </a:prstGeom>
                        <a:noFill/>
                        <a:ln w="6350"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FF0000"/>
                                <w:lang w:val="en-US" w:eastAsia="zh-CN"/>
                              </w:rPr>
                            </w:pPr>
                            <w:r>
                              <w:rPr>
                                <w:rFonts w:hint="eastAsia"/>
                                <w:b/>
                                <w:bCs/>
                                <w:color w:val="FF0000"/>
                                <w:sz w:val="24"/>
                                <w:szCs w:val="24"/>
                                <w:lang w:val="en-US" w:eastAsia="zh-CN"/>
                              </w:rPr>
                              <w:t>本项目</w:t>
                            </w:r>
                            <w:r>
                              <w:rPr>
                                <w:rFonts w:hint="eastAsia"/>
                                <w:b/>
                                <w:bCs/>
                                <w:color w:val="FF0000"/>
                                <w:lang w:val="en-US" w:eastAsia="zh-CN"/>
                              </w:rPr>
                              <w:t>厂址</w:t>
                            </w:r>
                          </w:p>
                        </w:txbxContent>
                      </wps:txbx>
                      <wps:bodyPr wrap="square" lIns="91440" tIns="18000" rIns="91440" bIns="18000" upright="1"/>
                    </wps:wsp>
                  </a:graphicData>
                </a:graphic>
              </wp:anchor>
            </w:drawing>
          </mc:Choice>
          <mc:Fallback>
            <w:pict>
              <v:shape id="自选图形 179" o:spid="_x0000_s1026" o:spt="61" type="#_x0000_t61" style="position:absolute;left:0pt;margin-left:375.45pt;margin-top:183.05pt;height:18.2pt;width:87.3pt;z-index:251662336;mso-width-relative:page;mso-height-relative:page;" filled="f" stroked="t" coordsize="21600,21600" o:gfxdata="UEsDBAoAAAAAAIdO4kAAAAAAAAAAAAAAAAAEAAAAZHJzL1BLAwQUAAAACACHTuJANMsAkNoAAAAL&#10;AQAADwAAAGRycy9kb3ducmV2LnhtbE2PQVODMBCF7874HzLrjDebgAUFCZ2xDh68tXjpbSEroCRB&#10;kpb23xtPetx537z3bbE565GdaHaDNRKilQBGprVqMJ2E97q6ewTmPBqFozUk4UIONuX1VYG5sovZ&#10;0WnvOxZKjMtRQu/9lHPu2p40upWdyITsw84afTjnjqsZl1CuRx4LkXKNgwkLPU607an92h+1hFfs&#10;ssO2rl7Wz8uhai6fb1jjt5S3N5F4Aubp7P9g+NUP6lAGp8YejXJslPCQiCygEu7TNAIWiCxOEmCN&#10;hLWIE+Blwf//UP4AUEsDBBQAAAAIAIdO4kD1rcWZPwIAAFwEAAAOAAAAZHJzL2Uyb0RvYy54bWyt&#10;VM2O0zAQviPxDpbv28TZsv1R0z1sKUJCsNqFB3BjJzHyH7bbpDduiGfgxpF3YN9mJXgLxm7oFrgg&#10;RA7OODOe+b5vPFlc9kqiHXdeGF1iMsox4royTOimxG9er8+mGPlANaPSaF7iPff4cvn40aKzc16Y&#10;1kjGHYIk2s87W+I2BDvPMl+1XFE/MpZrcNbGKRpg65qMOdpBdiWzIs8vss44Zp2puPfwdXVw4mXK&#10;X9e8Cq/q2vOAZIkBW0irS+smrtlyQeeNo7YV1QCD/gMKRYWGosdUKxoo2jrxRyolKme8qcOoMioz&#10;dS0qnjgAG5L/xua2pZYnLiCOt0eZ/P9LW73cXTskWIkLjDRV0KJvH758f//x/tPd/dfPiExmUaPO&#10;+jmE3tprN+w8mJFwXzsV30AF9UnX/VFX3gdUwUdC8umEgPwV+IpzQsZJ+OzhtHU+PONGoWiUuOOs&#10;4TfQvCsqpdmGJC3dvfAhacwGpJS9JRjVSkLLdlSiswmZzcjQ05MgoHYSRCbjSVHEKAAwJAXrJ4RY&#10;QZu1kDLdDalRV+KL8ycRPoUbWksawFQWNPO6SdC8kYLFI/Gwd83mSjoEiEq8XufwDMV+CYv1VtS3&#10;h7jkOiBXInCXarecsqeaobC30BcNA4QjGMUZRpLDvEUrRQYq5N9EAk+pgXjs56GD0Qr9poc00dwY&#10;tocL0cFEAL13W+qgpnyu4crNyBj6hkLakGmkhdypZ3Pq2VonmhZ6mfqRCsIVTpoP4xZn5HSfYD38&#10;FJ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TLAJDaAAAACwEAAA8AAAAAAAAAAQAgAAAAIgAA&#10;AGRycy9kb3ducmV2LnhtbFBLAQIUABQAAAAIAIdO4kD1rcWZPwIAAFwEAAAOAAAAAAAAAAEAIAAA&#10;ACkBAABkcnMvZTJvRG9jLnhtbFBLBQYAAAAABgAGAFkBAADaBQAAAAA=&#10;" adj="-4750,-26940">
                <v:fill on="f" focussize="0,0"/>
                <v:stroke weight="0.5pt" color="#FF0000" joinstyle="miter"/>
                <v:imagedata o:title=""/>
                <o:lock v:ext="edit" aspectratio="f"/>
                <v:textbox inset="2.54mm,0.5mm,2.54mm,0.5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FF0000"/>
                          <w:lang w:val="en-US" w:eastAsia="zh-CN"/>
                        </w:rPr>
                      </w:pPr>
                      <w:r>
                        <w:rPr>
                          <w:rFonts w:hint="eastAsia"/>
                          <w:b/>
                          <w:bCs/>
                          <w:color w:val="FF0000"/>
                          <w:sz w:val="24"/>
                          <w:szCs w:val="24"/>
                          <w:lang w:val="en-US" w:eastAsia="zh-CN"/>
                        </w:rPr>
                        <w:t>本项目</w:t>
                      </w:r>
                      <w:r>
                        <w:rPr>
                          <w:rFonts w:hint="eastAsia"/>
                          <w:b/>
                          <w:bCs/>
                          <w:color w:val="FF0000"/>
                          <w:lang w:val="en-US" w:eastAsia="zh-CN"/>
                        </w:rPr>
                        <w:t>厂址</w:t>
                      </w:r>
                    </w:p>
                  </w:txbxContent>
                </v:textbox>
              </v:shape>
            </w:pict>
          </mc:Fallback>
        </mc:AlternateContent>
      </w:r>
      <w:r>
        <w:rPr>
          <w:rFonts w:hint="default" w:ascii="Times New Roman" w:hAnsi="Times New Roman" w:cs="Times New Roman"/>
          <w:color w:val="auto"/>
          <w:sz w:val="44"/>
        </w:rPr>
        <mc:AlternateContent>
          <mc:Choice Requires="wps">
            <w:drawing>
              <wp:anchor distT="0" distB="0" distL="114300" distR="114300" simplePos="0" relativeHeight="251661312" behindDoc="0" locked="0" layoutInCell="1" allowOverlap="1">
                <wp:simplePos x="0" y="0"/>
                <wp:positionH relativeFrom="column">
                  <wp:posOffset>4443095</wp:posOffset>
                </wp:positionH>
                <wp:positionV relativeFrom="paragraph">
                  <wp:posOffset>1972310</wp:posOffset>
                </wp:positionV>
                <wp:extent cx="76200" cy="95885"/>
                <wp:effectExtent l="10795" t="15875" r="27305" b="21590"/>
                <wp:wrapNone/>
                <wp:docPr id="1" name="自选图形 178"/>
                <wp:cNvGraphicFramePr/>
                <a:graphic xmlns:a="http://schemas.openxmlformats.org/drawingml/2006/main">
                  <a:graphicData uri="http://schemas.microsoft.com/office/word/2010/wordprocessingShape">
                    <wps:wsp>
                      <wps:cNvSpPr/>
                      <wps:spPr>
                        <a:xfrm>
                          <a:off x="0" y="0"/>
                          <a:ext cx="76200" cy="95885"/>
                        </a:xfrm>
                        <a:prstGeom prst="star4">
                          <a:avLst>
                            <a:gd name="adj" fmla="val 20000"/>
                          </a:avLst>
                        </a:prstGeom>
                        <a:solidFill>
                          <a:srgbClr val="FF0000"/>
                        </a:solidFill>
                        <a:ln w="6350"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shape id="自选图形 178" o:spid="_x0000_s1026" o:spt="187" type="#_x0000_t187" style="position:absolute;left:0pt;margin-left:349.85pt;margin-top:155.3pt;height:7.55pt;width:6pt;z-index:251661312;mso-width-relative:page;mso-height-relative:page;" fillcolor="#FF0000" filled="t" stroked="t" coordsize="21600,21600" o:gfxdata="UEsDBAoAAAAAAIdO4kAAAAAAAAAAAAAAAAAEAAAAZHJzL1BLAwQUAAAACACHTuJAMtKlBtkAAAAL&#10;AQAADwAAAGRycy9kb3ducmV2LnhtbE2PwU6EMBCG7ya+QzMm3ty2GMFFykbdrMeNixqvhVYg0imh&#10;XRZ9eseTHuefL/98U2wWN7DZTqH3qECuBDCLjTc9tgpeX3ZXt8BC1Gj04NEq+LIBNuX5WaFz4094&#10;sHMVW0YlGHKtoItxzDkPTWedDis/WqTdh5+cjjROLTeTPlG5G3giRMqd7pEudHq0j51tPqujU/D0&#10;7Lbb/fL+neyreRce3urx/jApdXkhxR2waJf4B8OvPqlDSU61P6IJbFCQrtcZoQqupUiBEZFJSUlN&#10;SXKTAS8L/v+H8gdQSwMEFAAAAAgAh07iQP29BlQlAgAAQAQAAA4AAABkcnMvZTJvRG9jLnhtbK1T&#10;S44TMRDdI3EHy3vSyUBmQiudWUwIGwQjDRygYru7jfzDdtIdVuwQZ2A3S+4AtxkJbkHZHTIJbBBi&#10;0122q55fveeaX/Zaka3wQVpT0cloTIkwzHJpmoq+eb16NKMkRDAclDWiojsR6OXi4YN550pxZlur&#10;uPAEQUwoO1fRNkZXFkVgrdAQRtYJg4e19RoiLn1TcA8domtVnI3H50VnPXfeMhEC7i6HQ7rI+HUt&#10;WHxV10FEoiqK3GL++vxdp2+xmEPZeHCtZHsa8A8sNEiDlx6glhCBbLz8A0pL5m2wdRwxqwtb15KJ&#10;3AN2Mxn/1s1NC07kXlCc4A4yhf8Hy15urz2RHL2jxIBGi75//PLjw6e7z9/uvt6SycUsadS5UGLq&#10;jbv2+1XAMDXc116nP7ZC+qzr7qCr6CNhuHlxjlZRwvDk6XQ2mybE4r7U+RCfC6tJCiqKz8U/yWLC&#10;9kWIWVW+5wb8LSW1VujRFhRBWAQe0PbJiPsLL1UGqyRfSaXywjfrK+UJllZ0tToqPklThnQVPX88&#10;TZwBH2WtIGKoHcoUTJO5nVSEY+AEe2B1kpaILSG0A4F8lMhDqWUUSVgoWwH8meEk7hxaYXBmaCKj&#10;BadECRyxFOXMCFL9TSYKogzqnSwcTEtR7Nc9wqRwbfkO3wAOMYrfWv8eb8SBwFbfbcDj/WAYblcU&#10;NRjCqzhM0MZ52bRYNckeJDB8ptnb/UilOTheZx73g7/4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LSpQbZAAAACwEAAA8AAAAAAAAAAQAgAAAAIgAAAGRycy9kb3ducmV2LnhtbFBLAQIUABQAAAAI&#10;AIdO4kD9vQZUJQIAAEAEAAAOAAAAAAAAAAEAIAAAACgBAABkcnMvZTJvRG9jLnhtbFBLBQYAAAAA&#10;BgAGAFkBAAC/BQAAAAA=&#10;" adj="6480">
                <v:fill on="t" focussize="0,0"/>
                <v:stroke weight="0.5pt" color="#000000" joinstyle="miter"/>
                <v:imagedata o:title=""/>
                <o:lock v:ext="edit" aspectratio="f"/>
                <v:textbox>
                  <w:txbxContent>
                    <w:p/>
                  </w:txbxContent>
                </v:textbox>
              </v:shape>
            </w:pict>
          </mc:Fallback>
        </mc:AlternateContent>
      </w:r>
      <w:r>
        <w:rPr>
          <w:color w:val="auto"/>
          <w:lang w:val="en-US"/>
        </w:rPr>
        <w:drawing>
          <wp:inline distT="0" distB="0" distL="114300" distR="114300">
            <wp:extent cx="5233035" cy="7400925"/>
            <wp:effectExtent l="0" t="0" r="5715" b="9525"/>
            <wp:docPr id="1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
                    <pic:cNvPicPr>
                      <a:picLocks noChangeAspect="1"/>
                    </pic:cNvPicPr>
                  </pic:nvPicPr>
                  <pic:blipFill>
                    <a:blip r:embed="rId39"/>
                    <a:stretch>
                      <a:fillRect/>
                    </a:stretch>
                  </pic:blipFill>
                  <pic:spPr>
                    <a:xfrm>
                      <a:off x="0" y="0"/>
                      <a:ext cx="5233035" cy="7400925"/>
                    </a:xfrm>
                    <a:prstGeom prst="rect">
                      <a:avLst/>
                    </a:prstGeom>
                    <a:noFill/>
                    <a:ln>
                      <a:noFill/>
                    </a:ln>
                  </pic:spPr>
                </pic:pic>
              </a:graphicData>
            </a:graphic>
          </wp:inline>
        </w:drawing>
      </w:r>
    </w:p>
    <w:p>
      <w:pPr>
        <w:pStyle w:val="2"/>
        <w:bidi w:val="0"/>
        <w:jc w:val="center"/>
        <w:rPr>
          <w:rFonts w:hint="default" w:ascii="Times New Roman" w:hAnsi="Times New Roman" w:cs="Times New Roman"/>
          <w:color w:val="auto"/>
          <w:highlight w:val="none"/>
          <w:lang w:val="en-US" w:eastAsia="zh-CN"/>
        </w:rPr>
      </w:pPr>
      <w:bookmarkStart w:id="38" w:name="_Toc17022"/>
      <w:bookmarkStart w:id="39" w:name="_Toc20844"/>
      <w:r>
        <w:rPr>
          <w:rFonts w:hint="default" w:ascii="Times New Roman" w:hAnsi="Times New Roman" w:cs="Times New Roman"/>
          <w:color w:val="auto"/>
          <w:highlight w:val="none"/>
          <w:lang w:val="en-US" w:eastAsia="zh-CN"/>
        </w:rPr>
        <w:t>附图</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bookmarkEnd w:id="38"/>
      <w:r>
        <w:rPr>
          <w:rFonts w:hint="eastAsia" w:cs="Times New Roman"/>
          <w:color w:val="auto"/>
          <w:highlight w:val="none"/>
          <w:lang w:val="en-US" w:eastAsia="zh-CN"/>
        </w:rPr>
        <w:t>伊春</w:t>
      </w:r>
      <w:r>
        <w:rPr>
          <w:rFonts w:hint="default" w:ascii="Times New Roman" w:hAnsi="Times New Roman" w:cs="Times New Roman"/>
          <w:color w:val="auto"/>
          <w:highlight w:val="none"/>
          <w:lang w:val="en-US" w:eastAsia="zh-CN"/>
        </w:rPr>
        <w:t>市环境分区管控单元图</w:t>
      </w:r>
      <w:bookmarkEnd w:id="39"/>
    </w:p>
    <w:p>
      <w:pPr>
        <w:pStyle w:val="27"/>
        <w:rPr>
          <w:rFonts w:hint="default" w:ascii="Times New Roman" w:hAnsi="Times New Roman" w:cs="Times New Roman"/>
          <w:color w:val="auto"/>
        </w:r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cs="Times New Roman"/>
          <w:color w:val="auto"/>
          <w:lang w:val="en-US" w:eastAsia="zh-CN"/>
        </w:rPr>
      </w:pPr>
      <w:bookmarkStart w:id="40" w:name="_Toc21215"/>
      <w:bookmarkStart w:id="41" w:name="_Toc15650"/>
      <w:r>
        <w:rPr>
          <w:rFonts w:hint="default" w:ascii="Times New Roman" w:hAnsi="Times New Roman" w:cs="Times New Roman"/>
          <w:color w:val="auto"/>
          <w:lang w:val="en-US" w:eastAsia="zh-CN"/>
        </w:rPr>
        <w:t>附件1 营业执照</w:t>
      </w:r>
      <w:bookmarkEnd w:id="40"/>
      <w:bookmarkEnd w:id="41"/>
    </w:p>
    <w:p>
      <w:pPr>
        <w:bidi w:val="0"/>
        <w:jc w:val="center"/>
        <w:rPr>
          <w:rFonts w:hint="default" w:ascii="Times New Roman" w:hAnsi="Times New Roman" w:cs="Times New Roman"/>
          <w:color w:val="auto"/>
          <w:lang w:val="en-US" w:eastAsia="zh-CN"/>
        </w:rPr>
      </w:pPr>
    </w:p>
    <w:p>
      <w:pPr>
        <w:pStyle w:val="36"/>
        <w:jc w:val="center"/>
        <w:rPr>
          <w:rFonts w:hint="default" w:ascii="Times New Roman" w:hAnsi="Times New Roman" w:cs="Times New Roman"/>
          <w:color w:val="auto"/>
          <w:lang w:eastAsia="zh-CN"/>
        </w:rPr>
      </w:pPr>
    </w:p>
    <w:p>
      <w:pP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ind w:left="0" w:leftChars="0" w:firstLine="0" w:firstLineChars="0"/>
        <w:outlineLvl w:val="0"/>
        <w:rPr>
          <w:rFonts w:hint="default" w:ascii="Times New Roman" w:hAnsi="Times New Roman" w:eastAsia="黑体" w:cs="Times New Roman"/>
          <w:b/>
          <w:bCs/>
          <w:color w:val="auto"/>
          <w:kern w:val="44"/>
          <w:sz w:val="30"/>
          <w:szCs w:val="30"/>
          <w:lang w:val="en-US" w:eastAsia="zh-CN" w:bidi="ar-SA"/>
        </w:rPr>
      </w:pPr>
      <w:bookmarkStart w:id="42" w:name="_Toc32093"/>
      <w:r>
        <w:rPr>
          <w:rFonts w:hint="default" w:ascii="Times New Roman" w:hAnsi="Times New Roman" w:eastAsia="黑体" w:cs="Times New Roman"/>
          <w:b/>
          <w:bCs/>
          <w:color w:val="auto"/>
          <w:kern w:val="44"/>
          <w:sz w:val="30"/>
          <w:szCs w:val="30"/>
          <w:lang w:val="en-US" w:eastAsia="zh-CN" w:bidi="ar-SA"/>
        </w:rPr>
        <w:t xml:space="preserve">附件2 </w:t>
      </w:r>
      <w:r>
        <w:rPr>
          <w:rFonts w:hint="eastAsia" w:eastAsia="黑体" w:cs="Times New Roman"/>
          <w:b/>
          <w:bCs/>
          <w:color w:val="auto"/>
          <w:kern w:val="44"/>
          <w:sz w:val="30"/>
          <w:szCs w:val="30"/>
          <w:lang w:val="en-US" w:eastAsia="zh-CN" w:bidi="ar-SA"/>
        </w:rPr>
        <w:t>土地相关文件</w:t>
      </w:r>
      <w:bookmarkEnd w:id="42"/>
    </w:p>
    <w:p>
      <w:pPr>
        <w:rPr>
          <w:rFonts w:hint="default" w:ascii="Times New Roman" w:hAnsi="Times New Roman" w:cs="Times New Roman"/>
          <w:color w:val="auto"/>
          <w:lang w:val="en-US" w:eastAsia="zh-CN"/>
        </w:rPr>
      </w:pPr>
    </w:p>
    <w:p>
      <w:pPr>
        <w:rPr>
          <w:rFonts w:hint="default" w:ascii="Times New Roman" w:hAnsi="Times New Roman" w:cs="Times New Roman"/>
          <w:color w:val="auto"/>
          <w:lang w:eastAsia="zh-CN"/>
        </w:rPr>
      </w:pPr>
    </w:p>
    <w:p>
      <w:pPr>
        <w:pStyle w:val="27"/>
        <w:jc w:val="center"/>
        <w:rPr>
          <w:color w:val="auto"/>
          <w:sz w:val="21"/>
        </w:rPr>
      </w:pPr>
    </w:p>
    <w:p>
      <w:pPr>
        <w:bidi w:val="0"/>
        <w:rPr>
          <w:rFonts w:hint="default"/>
          <w:color w:val="auto"/>
          <w:lang w:eastAsia="zh-CN"/>
        </w:rPr>
      </w:pPr>
    </w:p>
    <w:p>
      <w:pPr>
        <w:tabs>
          <w:tab w:val="center" w:pos="4873"/>
        </w:tabs>
        <w:bidi w:val="0"/>
        <w:jc w:val="left"/>
        <w:rPr>
          <w:rFonts w:hint="default"/>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lang w:eastAsia="zh-CN"/>
        </w:rPr>
        <w:tab/>
      </w:r>
    </w:p>
    <w:p>
      <w:pPr>
        <w:pStyle w:val="2"/>
        <w:bidi w:val="0"/>
        <w:rPr>
          <w:rFonts w:hint="default" w:ascii="Times New Roman" w:hAnsi="Times New Roman" w:cs="Times New Roman"/>
          <w:color w:val="auto"/>
          <w:lang w:val="en-US" w:eastAsia="zh-CN"/>
        </w:rPr>
      </w:pPr>
      <w:bookmarkStart w:id="43" w:name="_Toc9031"/>
      <w:bookmarkStart w:id="44" w:name="_Toc10769"/>
      <w:r>
        <w:rPr>
          <w:rFonts w:hint="default" w:ascii="Times New Roman" w:hAnsi="Times New Roman" w:cs="Times New Roman"/>
          <w:color w:val="auto"/>
          <w:lang w:val="en-US" w:eastAsia="zh-CN"/>
        </w:rPr>
        <w:t>附件3 燃料分析单</w:t>
      </w:r>
      <w:bookmarkEnd w:id="43"/>
      <w:bookmarkEnd w:id="44"/>
    </w:p>
    <w:p>
      <w:pPr>
        <w:bidi w:val="0"/>
        <w:jc w:val="center"/>
        <w:rPr>
          <w:rFonts w:hint="default" w:ascii="Times New Roman" w:hAnsi="Times New Roman" w:eastAsia="黑体" w:cs="Times New Roman"/>
          <w:snapToGrid w:val="0"/>
          <w:color w:val="auto"/>
          <w:sz w:val="32"/>
          <w:szCs w:val="32"/>
          <w:lang w:val="en-US" w:eastAsia="zh-CN"/>
        </w:rPr>
      </w:pPr>
    </w:p>
    <w:p>
      <w:pPr>
        <w:bidi w:val="0"/>
        <w:jc w:val="center"/>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cs="Times New Roman"/>
          <w:color w:val="auto"/>
          <w:lang w:val="en-US" w:eastAsia="zh-CN"/>
        </w:rPr>
      </w:pPr>
      <w:bookmarkStart w:id="45" w:name="_Toc13661"/>
      <w:bookmarkStart w:id="46" w:name="_Toc23724"/>
      <w:r>
        <w:rPr>
          <w:rFonts w:hint="default" w:ascii="Times New Roman" w:hAnsi="Times New Roman" w:cs="Times New Roman"/>
          <w:color w:val="auto"/>
          <w:lang w:val="en-US" w:eastAsia="zh-CN"/>
        </w:rPr>
        <w:t>附件4 监测报告</w:t>
      </w:r>
      <w:bookmarkEnd w:id="45"/>
      <w:bookmarkEnd w:id="46"/>
    </w:p>
    <w:p>
      <w:pPr>
        <w:rPr>
          <w:rFonts w:hint="default" w:ascii="Times New Roman" w:hAnsi="Times New Roman" w:cs="Times New Roman"/>
          <w:color w:val="auto"/>
          <w:lang w:val="en-US" w:eastAsia="zh-CN"/>
        </w:rPr>
      </w:pPr>
      <w:r>
        <w:rPr>
          <w:color w:val="auto"/>
        </w:rPr>
        <w:drawing>
          <wp:inline distT="0" distB="0" distL="114300" distR="114300">
            <wp:extent cx="5272405" cy="7322820"/>
            <wp:effectExtent l="0" t="0" r="4445" b="1143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40"/>
                    <a:stretch>
                      <a:fillRect/>
                    </a:stretch>
                  </pic:blipFill>
                  <pic:spPr>
                    <a:xfrm>
                      <a:off x="0" y="0"/>
                      <a:ext cx="5272405" cy="7322820"/>
                    </a:xfrm>
                    <a:prstGeom prst="rect">
                      <a:avLst/>
                    </a:prstGeom>
                    <a:noFill/>
                    <a:ln>
                      <a:noFill/>
                    </a:ln>
                  </pic:spPr>
                </pic:pic>
              </a:graphicData>
            </a:graphic>
          </wp:inline>
        </w:drawing>
      </w:r>
      <w:r>
        <w:rPr>
          <w:color w:val="auto"/>
        </w:rPr>
        <w:drawing>
          <wp:inline distT="0" distB="0" distL="114300" distR="114300">
            <wp:extent cx="5270500" cy="7308850"/>
            <wp:effectExtent l="0" t="0" r="6350" b="635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41"/>
                    <a:stretch>
                      <a:fillRect/>
                    </a:stretch>
                  </pic:blipFill>
                  <pic:spPr>
                    <a:xfrm>
                      <a:off x="0" y="0"/>
                      <a:ext cx="5270500" cy="7308850"/>
                    </a:xfrm>
                    <a:prstGeom prst="rect">
                      <a:avLst/>
                    </a:prstGeom>
                    <a:noFill/>
                    <a:ln>
                      <a:noFill/>
                    </a:ln>
                  </pic:spPr>
                </pic:pic>
              </a:graphicData>
            </a:graphic>
          </wp:inline>
        </w:drawing>
      </w:r>
      <w:bookmarkStart w:id="51" w:name="_GoBack"/>
      <w:bookmarkEnd w:id="51"/>
    </w:p>
    <w:p>
      <w:pPr>
        <w:rPr>
          <w:rFonts w:hint="default" w:ascii="Times New Roman" w:hAnsi="Times New Roman" w:eastAsia="宋体" w:cs="Times New Roman"/>
          <w:color w:val="auto"/>
          <w:lang w:eastAsia="zh-CN"/>
        </w:rPr>
      </w:pPr>
    </w:p>
    <w:p>
      <w:pPr>
        <w:pStyle w:val="36"/>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eastAsia" w:ascii="Times New Roman" w:hAnsi="Times New Roman" w:cs="Times New Roman"/>
          <w:color w:val="auto"/>
          <w:highlight w:val="none"/>
          <w:lang w:val="en-US" w:eastAsia="zh-CN"/>
        </w:rPr>
      </w:pPr>
      <w:bookmarkStart w:id="47" w:name="_Toc23918"/>
      <w:bookmarkStart w:id="48" w:name="_Toc31022"/>
      <w:r>
        <w:rPr>
          <w:rFonts w:hint="default" w:ascii="Times New Roman" w:hAnsi="Times New Roman" w:cs="Times New Roman"/>
          <w:color w:val="auto"/>
          <w:lang w:val="en-US" w:eastAsia="zh-CN"/>
        </w:rPr>
        <w:t>附件</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生态环境分区管控分析报告</w:t>
      </w:r>
      <w:bookmarkEnd w:id="47"/>
    </w:p>
    <w:p>
      <w:pPr>
        <w:rPr>
          <w:rFonts w:hint="default"/>
          <w:color w:val="auto"/>
          <w:lang w:val="en-US" w:eastAsia="zh-CN"/>
        </w:rPr>
      </w:pPr>
      <w:r>
        <w:rPr>
          <w:color w:val="auto"/>
        </w:rPr>
        <w:drawing>
          <wp:inline distT="0" distB="0" distL="114300" distR="114300">
            <wp:extent cx="5270500" cy="3726180"/>
            <wp:effectExtent l="0" t="0" r="6350" b="762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42"/>
                    <a:stretch>
                      <a:fillRect/>
                    </a:stretch>
                  </pic:blipFill>
                  <pic:spPr>
                    <a:xfrm>
                      <a:off x="0" y="0"/>
                      <a:ext cx="5270500" cy="3726180"/>
                    </a:xfrm>
                    <a:prstGeom prst="rect">
                      <a:avLst/>
                    </a:prstGeom>
                    <a:noFill/>
                    <a:ln>
                      <a:noFill/>
                    </a:ln>
                  </pic:spPr>
                </pic:pic>
              </a:graphicData>
            </a:graphic>
          </wp:inline>
        </w:drawing>
      </w:r>
      <w:r>
        <w:rPr>
          <w:color w:val="auto"/>
        </w:rPr>
        <w:drawing>
          <wp:inline distT="0" distB="0" distL="114300" distR="114300">
            <wp:extent cx="5264785" cy="2294890"/>
            <wp:effectExtent l="0" t="0" r="12065" b="1016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43"/>
                    <a:stretch>
                      <a:fillRect/>
                    </a:stretch>
                  </pic:blipFill>
                  <pic:spPr>
                    <a:xfrm>
                      <a:off x="0" y="0"/>
                      <a:ext cx="5264785" cy="2294890"/>
                    </a:xfrm>
                    <a:prstGeom prst="rect">
                      <a:avLst/>
                    </a:prstGeom>
                    <a:noFill/>
                    <a:ln>
                      <a:noFill/>
                    </a:ln>
                  </pic:spPr>
                </pic:pic>
              </a:graphicData>
            </a:graphic>
          </wp:inline>
        </w:drawing>
      </w:r>
      <w:r>
        <w:rPr>
          <w:color w:val="auto"/>
        </w:rPr>
        <w:drawing>
          <wp:inline distT="0" distB="0" distL="114300" distR="114300">
            <wp:extent cx="5270500" cy="3324225"/>
            <wp:effectExtent l="0" t="0" r="6350" b="952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44"/>
                    <a:stretch>
                      <a:fillRect/>
                    </a:stretch>
                  </pic:blipFill>
                  <pic:spPr>
                    <a:xfrm>
                      <a:off x="0" y="0"/>
                      <a:ext cx="5270500" cy="3324225"/>
                    </a:xfrm>
                    <a:prstGeom prst="rect">
                      <a:avLst/>
                    </a:prstGeom>
                    <a:noFill/>
                    <a:ln>
                      <a:noFill/>
                    </a:ln>
                  </pic:spPr>
                </pic:pic>
              </a:graphicData>
            </a:graphic>
          </wp:inline>
        </w:drawing>
      </w:r>
      <w:r>
        <w:rPr>
          <w:color w:val="auto"/>
        </w:rPr>
        <w:drawing>
          <wp:inline distT="0" distB="0" distL="114300" distR="114300">
            <wp:extent cx="5272405" cy="3542665"/>
            <wp:effectExtent l="0" t="0" r="4445" b="63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45"/>
                    <a:stretch>
                      <a:fillRect/>
                    </a:stretch>
                  </pic:blipFill>
                  <pic:spPr>
                    <a:xfrm>
                      <a:off x="0" y="0"/>
                      <a:ext cx="5272405" cy="3542665"/>
                    </a:xfrm>
                    <a:prstGeom prst="rect">
                      <a:avLst/>
                    </a:prstGeom>
                    <a:noFill/>
                    <a:ln>
                      <a:noFill/>
                    </a:ln>
                  </pic:spPr>
                </pic:pic>
              </a:graphicData>
            </a:graphic>
          </wp:inline>
        </w:drawing>
      </w:r>
      <w:r>
        <w:rPr>
          <w:color w:val="auto"/>
        </w:rPr>
        <w:drawing>
          <wp:inline distT="0" distB="0" distL="114300" distR="114300">
            <wp:extent cx="5269865" cy="3453130"/>
            <wp:effectExtent l="0" t="0" r="6985" b="1397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46"/>
                    <a:stretch>
                      <a:fillRect/>
                    </a:stretch>
                  </pic:blipFill>
                  <pic:spPr>
                    <a:xfrm>
                      <a:off x="0" y="0"/>
                      <a:ext cx="5269865" cy="3453130"/>
                    </a:xfrm>
                    <a:prstGeom prst="rect">
                      <a:avLst/>
                    </a:prstGeom>
                    <a:noFill/>
                    <a:ln>
                      <a:noFill/>
                    </a:ln>
                  </pic:spPr>
                </pic:pic>
              </a:graphicData>
            </a:graphic>
          </wp:inline>
        </w:drawing>
      </w:r>
      <w:r>
        <w:rPr>
          <w:color w:val="auto"/>
        </w:rPr>
        <w:drawing>
          <wp:inline distT="0" distB="0" distL="114300" distR="114300">
            <wp:extent cx="5273675" cy="3663950"/>
            <wp:effectExtent l="0" t="0" r="3175" b="1270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47"/>
                    <a:stretch>
                      <a:fillRect/>
                    </a:stretch>
                  </pic:blipFill>
                  <pic:spPr>
                    <a:xfrm>
                      <a:off x="0" y="0"/>
                      <a:ext cx="5273675" cy="3663950"/>
                    </a:xfrm>
                    <a:prstGeom prst="rect">
                      <a:avLst/>
                    </a:prstGeom>
                    <a:noFill/>
                    <a:ln>
                      <a:noFill/>
                    </a:ln>
                  </pic:spPr>
                </pic:pic>
              </a:graphicData>
            </a:graphic>
          </wp:inline>
        </w:drawing>
      </w:r>
      <w:r>
        <w:rPr>
          <w:color w:val="auto"/>
        </w:rPr>
        <w:drawing>
          <wp:inline distT="0" distB="0" distL="114300" distR="114300">
            <wp:extent cx="5238750" cy="3552825"/>
            <wp:effectExtent l="0" t="0" r="0" b="952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48"/>
                    <a:stretch>
                      <a:fillRect/>
                    </a:stretch>
                  </pic:blipFill>
                  <pic:spPr>
                    <a:xfrm>
                      <a:off x="0" y="0"/>
                      <a:ext cx="5238750" cy="3552825"/>
                    </a:xfrm>
                    <a:prstGeom prst="rect">
                      <a:avLst/>
                    </a:prstGeom>
                    <a:noFill/>
                    <a:ln>
                      <a:noFill/>
                    </a:ln>
                  </pic:spPr>
                </pic:pic>
              </a:graphicData>
            </a:graphic>
          </wp:inline>
        </w:drawing>
      </w:r>
      <w:r>
        <w:rPr>
          <w:color w:val="auto"/>
        </w:rPr>
        <w:drawing>
          <wp:inline distT="0" distB="0" distL="114300" distR="114300">
            <wp:extent cx="5271135" cy="3417570"/>
            <wp:effectExtent l="0" t="0" r="5715" b="1143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49"/>
                    <a:stretch>
                      <a:fillRect/>
                    </a:stretch>
                  </pic:blipFill>
                  <pic:spPr>
                    <a:xfrm>
                      <a:off x="0" y="0"/>
                      <a:ext cx="5271135" cy="3417570"/>
                    </a:xfrm>
                    <a:prstGeom prst="rect">
                      <a:avLst/>
                    </a:prstGeom>
                    <a:noFill/>
                    <a:ln>
                      <a:noFill/>
                    </a:ln>
                  </pic:spPr>
                </pic:pic>
              </a:graphicData>
            </a:graphic>
          </wp:inline>
        </w:drawing>
      </w:r>
      <w:r>
        <w:rPr>
          <w:color w:val="auto"/>
        </w:rPr>
        <w:drawing>
          <wp:inline distT="0" distB="0" distL="114300" distR="114300">
            <wp:extent cx="5269865" cy="3208020"/>
            <wp:effectExtent l="0" t="0" r="6985" b="1143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50"/>
                    <a:stretch>
                      <a:fillRect/>
                    </a:stretch>
                  </pic:blipFill>
                  <pic:spPr>
                    <a:xfrm>
                      <a:off x="0" y="0"/>
                      <a:ext cx="5269865" cy="3208020"/>
                    </a:xfrm>
                    <a:prstGeom prst="rect">
                      <a:avLst/>
                    </a:prstGeom>
                    <a:noFill/>
                    <a:ln>
                      <a:noFill/>
                    </a:ln>
                  </pic:spPr>
                </pic:pic>
              </a:graphicData>
            </a:graphic>
          </wp:inline>
        </w:drawing>
      </w:r>
      <w:r>
        <w:rPr>
          <w:color w:val="auto"/>
        </w:rPr>
        <w:drawing>
          <wp:inline distT="0" distB="0" distL="114300" distR="114300">
            <wp:extent cx="5274310" cy="3509645"/>
            <wp:effectExtent l="0" t="0" r="2540" b="1460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51"/>
                    <a:stretch>
                      <a:fillRect/>
                    </a:stretch>
                  </pic:blipFill>
                  <pic:spPr>
                    <a:xfrm>
                      <a:off x="0" y="0"/>
                      <a:ext cx="5274310" cy="3509645"/>
                    </a:xfrm>
                    <a:prstGeom prst="rect">
                      <a:avLst/>
                    </a:prstGeom>
                    <a:noFill/>
                    <a:ln>
                      <a:noFill/>
                    </a:ln>
                  </pic:spPr>
                </pic:pic>
              </a:graphicData>
            </a:graphic>
          </wp:inline>
        </w:drawing>
      </w:r>
    </w:p>
    <w:p>
      <w:pPr>
        <w:pStyle w:val="2"/>
        <w:bidi w:val="0"/>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黑体" w:cs="Times New Roman"/>
          <w:snapToGrid w:val="0"/>
          <w:color w:val="auto"/>
          <w:sz w:val="32"/>
          <w:szCs w:val="32"/>
          <w:lang w:val="en-US" w:eastAsia="zh-CN"/>
        </w:rPr>
      </w:pPr>
      <w:bookmarkStart w:id="49" w:name="_Toc19667"/>
      <w:r>
        <w:rPr>
          <w:rFonts w:hint="default" w:ascii="Times New Roman" w:hAnsi="Times New Roman" w:cs="Times New Roman"/>
          <w:color w:val="auto"/>
          <w:lang w:val="en-US" w:eastAsia="zh-CN"/>
        </w:rPr>
        <w:t>附件</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核定总量计算说明</w:t>
      </w:r>
      <w:bookmarkEnd w:id="48"/>
      <w:bookmarkEnd w:id="49"/>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本项目烘干塔热源为1台</w:t>
      </w:r>
      <w:r>
        <w:rPr>
          <w:rFonts w:hint="eastAsia" w:cs="Times New Roman"/>
          <w:bCs/>
          <w:color w:val="auto"/>
          <w:spacing w:val="-10"/>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t/h</w:t>
      </w:r>
      <w:r>
        <w:rPr>
          <w:rFonts w:hint="default" w:ascii="Times New Roman" w:hAnsi="Times New Roman" w:eastAsia="宋体" w:cs="Times New Roman"/>
          <w:bCs/>
          <w:color w:val="auto"/>
          <w:spacing w:val="-10"/>
          <w:sz w:val="24"/>
          <w:szCs w:val="24"/>
          <w:highlight w:val="none"/>
          <w:lang w:val="en-US" w:eastAsia="zh-CN"/>
        </w:rPr>
        <w:t>生物质热风炉，本项目年消耗生物质压块燃料</w:t>
      </w:r>
      <w:r>
        <w:rPr>
          <w:rFonts w:hint="eastAsia" w:cs="Times New Roman"/>
          <w:bCs/>
          <w:color w:val="auto"/>
          <w:spacing w:val="-10"/>
          <w:sz w:val="24"/>
          <w:szCs w:val="24"/>
          <w:highlight w:val="none"/>
          <w:lang w:val="en-US" w:eastAsia="zh-CN"/>
        </w:rPr>
        <w:t>702</w:t>
      </w:r>
      <w:r>
        <w:rPr>
          <w:rFonts w:hint="default" w:ascii="Times New Roman" w:hAnsi="Times New Roman" w:eastAsia="宋体" w:cs="Times New Roman"/>
          <w:bCs/>
          <w:color w:val="auto"/>
          <w:spacing w:val="-10"/>
          <w:sz w:val="24"/>
          <w:szCs w:val="24"/>
          <w:highlight w:val="none"/>
          <w:lang w:val="en-US" w:eastAsia="zh-CN"/>
        </w:rPr>
        <w:t>t，热风炉年运行时间为</w:t>
      </w:r>
      <w:r>
        <w:rPr>
          <w:rFonts w:hint="eastAsia" w:cs="Times New Roman"/>
          <w:bCs/>
          <w:color w:val="auto"/>
          <w:spacing w:val="-10"/>
          <w:sz w:val="24"/>
          <w:szCs w:val="24"/>
          <w:highlight w:val="none"/>
          <w:lang w:val="en-US" w:eastAsia="zh-CN"/>
        </w:rPr>
        <w:t>480</w:t>
      </w:r>
      <w:r>
        <w:rPr>
          <w:rFonts w:hint="default" w:ascii="Times New Roman" w:hAnsi="Times New Roman" w:eastAsia="宋体" w:cs="Times New Roman"/>
          <w:bCs/>
          <w:color w:val="auto"/>
          <w:spacing w:val="-10"/>
          <w:sz w:val="24"/>
          <w:szCs w:val="24"/>
          <w:highlight w:val="none"/>
          <w:lang w:val="en-US" w:eastAsia="zh-CN"/>
        </w:rPr>
        <w:t>h。热风炉烟气经1台的布袋除尘器处理后，由15m高烟囱排放。</w:t>
      </w:r>
    </w:p>
    <w:p>
      <w:pPr>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根据《排污许可证申请与核发技术规范 工业炉窑》HJ 1121-2020年许可排放量计算方法按照优先顺序依次为基准排气量法、绩效值法、气量法</w:t>
      </w:r>
      <w:r>
        <w:rPr>
          <w:rFonts w:hint="eastAsia" w:ascii="Times New Roman" w:hAnsi="Times New Roman" w:eastAsia="宋体" w:cs="Times New Roman"/>
          <w:color w:val="auto"/>
          <w:kern w:val="0"/>
          <w:sz w:val="24"/>
          <w:szCs w:val="24"/>
          <w:highlight w:val="none"/>
          <w:lang w:val="en-US" w:eastAsia="zh-CN" w:bidi="ar"/>
        </w:rPr>
        <w:t>。本项目</w:t>
      </w:r>
      <w:r>
        <w:rPr>
          <w:rFonts w:hint="eastAsia" w:cs="Times New Roman"/>
          <w:color w:val="auto"/>
          <w:kern w:val="0"/>
          <w:sz w:val="24"/>
          <w:szCs w:val="24"/>
          <w:highlight w:val="none"/>
          <w:lang w:val="en-US" w:eastAsia="zh-CN" w:bidi="ar"/>
        </w:rPr>
        <w:t>热风炉废气排放</w:t>
      </w:r>
      <w:r>
        <w:rPr>
          <w:rFonts w:hint="eastAsia" w:ascii="Times New Roman" w:hAnsi="Times New Roman" w:eastAsia="宋体" w:cs="Times New Roman"/>
          <w:color w:val="auto"/>
          <w:kern w:val="0"/>
          <w:sz w:val="24"/>
          <w:szCs w:val="24"/>
          <w:highlight w:val="none"/>
          <w:lang w:val="en-US" w:eastAsia="zh-CN" w:bidi="ar"/>
        </w:rPr>
        <w:t>执行《工业炉窑大气污染物排放标准》（GB9078-1996），无基准排气量要求，因此采用</w:t>
      </w:r>
      <w:r>
        <w:rPr>
          <w:rFonts w:hint="eastAsia" w:cs="Times New Roman"/>
          <w:color w:val="auto"/>
          <w:kern w:val="0"/>
          <w:sz w:val="24"/>
          <w:szCs w:val="24"/>
          <w:highlight w:val="none"/>
          <w:lang w:val="en-US" w:eastAsia="zh-CN" w:bidi="ar"/>
        </w:rPr>
        <w:t>绩效法</w:t>
      </w:r>
      <w:r>
        <w:rPr>
          <w:rFonts w:hint="eastAsia" w:ascii="Times New Roman" w:hAnsi="Times New Roman" w:eastAsia="宋体" w:cs="Times New Roman"/>
          <w:color w:val="auto"/>
          <w:kern w:val="0"/>
          <w:sz w:val="24"/>
          <w:szCs w:val="24"/>
          <w:highlight w:val="none"/>
          <w:lang w:val="en-US" w:eastAsia="zh-CN" w:bidi="ar"/>
        </w:rPr>
        <w:t>进行计算。</w:t>
      </w:r>
    </w:p>
    <w:p>
      <w:pPr>
        <w:pStyle w:val="99"/>
        <w:adjustRightInd w:val="0"/>
        <w:snapToGrid w:val="0"/>
        <w:spacing w:line="360" w:lineRule="auto"/>
        <w:ind w:firstLine="480" w:firstLineChars="200"/>
        <w:rPr>
          <w:rFonts w:hint="default"/>
          <w:color w:val="auto"/>
          <w:sz w:val="24"/>
        </w:rPr>
      </w:pPr>
      <w:r>
        <w:rPr>
          <w:color w:val="auto"/>
          <w:sz w:val="24"/>
        </w:rPr>
        <w:t>根据《排污许可证申请与核发技术规范 工业炉窑》（HJ1121-2020）中表6取值表计算本项目颗粒物绩效值、氮氧化合物绩效值。根据附件</w:t>
      </w:r>
      <w:r>
        <w:rPr>
          <w:rFonts w:hint="eastAsia"/>
          <w:color w:val="auto"/>
          <w:sz w:val="24"/>
          <w:lang w:val="en-US" w:eastAsia="zh-CN"/>
        </w:rPr>
        <w:t>3</w:t>
      </w:r>
      <w:r>
        <w:rPr>
          <w:color w:val="auto"/>
          <w:sz w:val="24"/>
        </w:rPr>
        <w:t>生物质燃料检测报告，本项目Qnet，ar=</w:t>
      </w:r>
      <w:r>
        <w:rPr>
          <w:rFonts w:hint="eastAsia"/>
          <w:color w:val="auto"/>
          <w:sz w:val="24"/>
          <w:lang w:val="en-US" w:eastAsia="zh-CN"/>
        </w:rPr>
        <w:t>16.77</w:t>
      </w:r>
      <w:r>
        <w:rPr>
          <w:color w:val="auto"/>
          <w:sz w:val="24"/>
        </w:rPr>
        <w:t>MJ/kg，采用插值法计算绩效值：</w:t>
      </w:r>
    </w:p>
    <w:p>
      <w:pPr>
        <w:pStyle w:val="99"/>
        <w:adjustRightInd w:val="0"/>
        <w:snapToGrid w:val="0"/>
        <w:spacing w:line="360" w:lineRule="auto"/>
        <w:ind w:left="0" w:leftChars="0" w:firstLine="0" w:firstLineChars="0"/>
        <w:rPr>
          <w:rFonts w:hint="default"/>
          <w:color w:val="auto"/>
          <w:sz w:val="21"/>
          <w:szCs w:val="21"/>
        </w:rPr>
      </w:pPr>
      <w:r>
        <w:rPr>
          <w:color w:val="auto"/>
          <w:sz w:val="21"/>
          <w:szCs w:val="21"/>
        </w:rPr>
        <w:t>颗粒物绩效值=0.252+（0.276-0.252）×（16.77-16.75）÷（18.84-16.75）=0.252kg/t原料</w:t>
      </w:r>
    </w:p>
    <w:p>
      <w:pPr>
        <w:pStyle w:val="99"/>
        <w:adjustRightInd w:val="0"/>
        <w:snapToGrid w:val="0"/>
        <w:spacing w:line="360" w:lineRule="auto"/>
        <w:ind w:left="0" w:leftChars="0" w:firstLine="0" w:firstLineChars="0"/>
        <w:rPr>
          <w:rFonts w:hint="default"/>
          <w:color w:val="auto"/>
          <w:sz w:val="21"/>
          <w:szCs w:val="21"/>
        </w:rPr>
      </w:pPr>
      <w:r>
        <w:rPr>
          <w:color w:val="auto"/>
          <w:sz w:val="21"/>
          <w:szCs w:val="21"/>
        </w:rPr>
        <w:t>SO</w:t>
      </w:r>
      <w:r>
        <w:rPr>
          <w:color w:val="auto"/>
          <w:sz w:val="21"/>
          <w:szCs w:val="21"/>
          <w:vertAlign w:val="subscript"/>
        </w:rPr>
        <w:t>2</w:t>
      </w:r>
      <w:r>
        <w:rPr>
          <w:color w:val="auto"/>
          <w:sz w:val="21"/>
          <w:szCs w:val="21"/>
        </w:rPr>
        <w:t>绩效值=0.839+（0.919-0.839）×（16.77-16.75）÷（18.84-16.75）=0.847kg/t原料</w:t>
      </w:r>
    </w:p>
    <w:p>
      <w:pPr>
        <w:pStyle w:val="99"/>
        <w:adjustRightInd w:val="0"/>
        <w:snapToGrid w:val="0"/>
        <w:spacing w:line="360" w:lineRule="auto"/>
        <w:ind w:left="0" w:leftChars="0" w:firstLine="0" w:firstLineChars="0"/>
        <w:rPr>
          <w:rFonts w:hint="default"/>
          <w:color w:val="auto"/>
          <w:sz w:val="24"/>
          <w:szCs w:val="24"/>
        </w:rPr>
      </w:pPr>
      <w:r>
        <w:rPr>
          <w:color w:val="auto"/>
          <w:sz w:val="21"/>
          <w:szCs w:val="21"/>
        </w:rPr>
        <w:t>氮氧化合物绩效值=2.516+（2.756-2.516）×（16.77-16.75）÷（18.84-16.75）=2.537kg/t原料</w:t>
      </w:r>
    </w:p>
    <w:p>
      <w:pPr>
        <w:pStyle w:val="99"/>
        <w:adjustRightInd w:val="0"/>
        <w:snapToGrid w:val="0"/>
        <w:spacing w:line="500" w:lineRule="exact"/>
        <w:ind w:firstLine="422"/>
        <w:jc w:val="center"/>
        <w:rPr>
          <w:rFonts w:hint="default"/>
          <w:b/>
          <w:bCs/>
          <w:color w:val="auto"/>
          <w:sz w:val="21"/>
          <w:szCs w:val="21"/>
        </w:rPr>
      </w:pPr>
      <w:r>
        <w:rPr>
          <w:b/>
          <w:bCs/>
          <w:color w:val="auto"/>
          <w:sz w:val="21"/>
          <w:szCs w:val="21"/>
        </w:rPr>
        <w:t>表1加热炉、热处理炉、干燥炉（窑）排放口参考绩效值表</w:t>
      </w:r>
    </w:p>
    <w:p>
      <w:pPr>
        <w:pStyle w:val="99"/>
        <w:adjustRightInd w:val="0"/>
        <w:snapToGrid w:val="0"/>
        <w:spacing w:line="240" w:lineRule="auto"/>
        <w:ind w:firstLine="0"/>
        <w:jc w:val="center"/>
        <w:rPr>
          <w:rFonts w:hint="default"/>
          <w:color w:val="auto"/>
          <w:sz w:val="24"/>
          <w:szCs w:val="32"/>
        </w:rPr>
      </w:pPr>
      <w:r>
        <w:rPr>
          <w:color w:val="auto"/>
        </w:rPr>
        <w:drawing>
          <wp:inline distT="0" distB="0" distL="0" distR="0">
            <wp:extent cx="5274310" cy="1818640"/>
            <wp:effectExtent l="0" t="0" r="2540" b="1016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4310" cy="1818640"/>
                    </a:xfrm>
                    <a:prstGeom prst="rect">
                      <a:avLst/>
                    </a:prstGeom>
                    <a:noFill/>
                    <a:ln>
                      <a:noFill/>
                    </a:ln>
                  </pic:spPr>
                </pic:pic>
              </a:graphicData>
            </a:graphic>
          </wp:inline>
        </w:drawing>
      </w:r>
    </w:p>
    <w:p>
      <w:pPr>
        <w:pStyle w:val="99"/>
        <w:adjustRightInd w:val="0"/>
        <w:snapToGrid w:val="0"/>
        <w:spacing w:line="500" w:lineRule="exact"/>
        <w:ind w:firstLine="480" w:firstLineChars="200"/>
        <w:rPr>
          <w:rFonts w:hint="default"/>
          <w:color w:val="auto"/>
          <w:sz w:val="24"/>
        </w:rPr>
      </w:pPr>
      <w:bookmarkStart w:id="50" w:name="_Hlk97735277"/>
      <w:r>
        <w:rPr>
          <w:color w:val="auto"/>
          <w:sz w:val="24"/>
        </w:rPr>
        <w:t>根据《排污许可证申请与核发技术规范 工业炉窑》（HJ1121-2020）绩效值法核算方法</w:t>
      </w:r>
    </w:p>
    <w:p>
      <w:pPr>
        <w:jc w:val="center"/>
        <w:rPr>
          <w:rFonts w:hint="default"/>
          <w:color w:val="auto"/>
        </w:rPr>
      </w:pPr>
      <w:r>
        <w:rPr>
          <w:color w:val="auto"/>
        </w:rPr>
        <w:drawing>
          <wp:inline distT="0" distB="0" distL="0" distR="0">
            <wp:extent cx="1423035" cy="742315"/>
            <wp:effectExtent l="0" t="0" r="5715"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34146" cy="748250"/>
                    </a:xfrm>
                    <a:prstGeom prst="rect">
                      <a:avLst/>
                    </a:prstGeom>
                    <a:noFill/>
                    <a:ln>
                      <a:noFill/>
                    </a:ln>
                  </pic:spPr>
                </pic:pic>
              </a:graphicData>
            </a:graphic>
          </wp:inline>
        </w:drawing>
      </w:r>
    </w:p>
    <w:p>
      <w:pPr>
        <w:pStyle w:val="99"/>
        <w:adjustRightInd w:val="0"/>
        <w:snapToGrid w:val="0"/>
        <w:spacing w:line="500" w:lineRule="exact"/>
        <w:ind w:firstLine="480" w:firstLineChars="200"/>
        <w:rPr>
          <w:rFonts w:hint="default"/>
          <w:color w:val="auto"/>
          <w:sz w:val="24"/>
        </w:rPr>
      </w:pPr>
      <w:r>
        <w:rPr>
          <w:color w:val="auto"/>
          <w:sz w:val="24"/>
        </w:rPr>
        <w:t>式中：Mi——第i个排放口污染物年许可排放量，t；</w:t>
      </w:r>
    </w:p>
    <w:p>
      <w:pPr>
        <w:pStyle w:val="99"/>
        <w:adjustRightInd w:val="0"/>
        <w:snapToGrid w:val="0"/>
        <w:spacing w:line="500" w:lineRule="exact"/>
        <w:ind w:firstLine="1200" w:firstLineChars="500"/>
        <w:rPr>
          <w:rFonts w:hint="default"/>
          <w:color w:val="auto"/>
          <w:sz w:val="24"/>
        </w:rPr>
      </w:pPr>
      <w:r>
        <w:rPr>
          <w:color w:val="auto"/>
          <w:sz w:val="24"/>
        </w:rPr>
        <w:t>R——第i个排放口对应工业炉窑前三年实际产量最大值（若不足一年或前三年实际产量最大值超过设计产能，则以设计产能为准）或前三年实际燃料消耗量最大值（若不足一年或前三年实际燃料消耗量最大值超过设计消耗量，则以设计消耗量为准），万t或万m</w:t>
      </w:r>
      <w:r>
        <w:rPr>
          <w:color w:val="auto"/>
          <w:sz w:val="24"/>
          <w:vertAlign w:val="superscript"/>
        </w:rPr>
        <w:t>3</w:t>
      </w:r>
      <w:r>
        <w:rPr>
          <w:color w:val="auto"/>
          <w:sz w:val="24"/>
        </w:rPr>
        <w:t>；</w:t>
      </w:r>
    </w:p>
    <w:p>
      <w:pPr>
        <w:pStyle w:val="99"/>
        <w:adjustRightInd w:val="0"/>
        <w:snapToGrid w:val="0"/>
        <w:spacing w:line="500" w:lineRule="exact"/>
        <w:ind w:firstLine="480" w:firstLineChars="200"/>
        <w:rPr>
          <w:rFonts w:hint="default"/>
          <w:color w:val="auto"/>
          <w:sz w:val="24"/>
        </w:rPr>
      </w:pPr>
      <w:r>
        <w:rPr>
          <w:color w:val="auto"/>
          <w:sz w:val="24"/>
        </w:rPr>
        <w:t>G ——绩效值，kg/t产品，kg/t燃料或kg/m</w:t>
      </w:r>
      <w:r>
        <w:rPr>
          <w:color w:val="auto"/>
          <w:sz w:val="24"/>
          <w:vertAlign w:val="superscript"/>
        </w:rPr>
        <w:t>3</w:t>
      </w:r>
      <w:r>
        <w:rPr>
          <w:color w:val="auto"/>
          <w:sz w:val="24"/>
        </w:rPr>
        <w:t>燃料；</w:t>
      </w:r>
    </w:p>
    <w:p>
      <w:pPr>
        <w:pStyle w:val="99"/>
        <w:adjustRightInd w:val="0"/>
        <w:snapToGrid w:val="0"/>
        <w:spacing w:line="500" w:lineRule="exact"/>
        <w:ind w:firstLine="480" w:firstLineChars="200"/>
        <w:rPr>
          <w:rFonts w:hint="default"/>
          <w:color w:val="auto"/>
          <w:sz w:val="24"/>
        </w:rPr>
      </w:pPr>
      <w:r>
        <w:rPr>
          <w:color w:val="auto"/>
          <w:sz w:val="24"/>
        </w:rPr>
        <w:t>E</w:t>
      </w:r>
      <w:r>
        <w:rPr>
          <w:color w:val="auto"/>
          <w:sz w:val="24"/>
          <w:vertAlign w:val="subscript"/>
        </w:rPr>
        <w:t>年许可</w:t>
      </w:r>
      <w:r>
        <w:rPr>
          <w:color w:val="auto"/>
          <w:sz w:val="24"/>
        </w:rPr>
        <w:t>——污染物年许可排放量，t。</w:t>
      </w:r>
    </w:p>
    <w:bookmarkEnd w:id="50"/>
    <w:p>
      <w:pPr>
        <w:pStyle w:val="99"/>
        <w:adjustRightInd w:val="0"/>
        <w:snapToGrid w:val="0"/>
        <w:spacing w:line="500" w:lineRule="exact"/>
        <w:ind w:firstLine="480" w:firstLineChars="200"/>
        <w:rPr>
          <w:rFonts w:hint="default"/>
          <w:b w:val="0"/>
          <w:bCs w:val="0"/>
          <w:color w:val="auto"/>
          <w:sz w:val="24"/>
          <w:szCs w:val="24"/>
          <w:highlight w:val="none"/>
        </w:rPr>
      </w:pPr>
      <w:r>
        <w:rPr>
          <w:b w:val="0"/>
          <w:bCs w:val="0"/>
          <w:color w:val="auto"/>
          <w:sz w:val="24"/>
          <w:szCs w:val="24"/>
          <w:highlight w:val="none"/>
        </w:rPr>
        <w:t>则E</w:t>
      </w:r>
      <w:r>
        <w:rPr>
          <w:b w:val="0"/>
          <w:bCs w:val="0"/>
          <w:color w:val="auto"/>
          <w:sz w:val="24"/>
          <w:szCs w:val="24"/>
          <w:highlight w:val="none"/>
          <w:vertAlign w:val="subscript"/>
        </w:rPr>
        <w:t>颗粒物</w:t>
      </w:r>
      <w:r>
        <w:rPr>
          <w:b w:val="0"/>
          <w:bCs w:val="0"/>
          <w:color w:val="auto"/>
          <w:sz w:val="24"/>
          <w:szCs w:val="24"/>
          <w:highlight w:val="none"/>
        </w:rPr>
        <w:t>=0.2</w:t>
      </w:r>
      <w:r>
        <w:rPr>
          <w:rFonts w:hint="eastAsia"/>
          <w:b w:val="0"/>
          <w:bCs w:val="0"/>
          <w:color w:val="auto"/>
          <w:sz w:val="24"/>
          <w:szCs w:val="24"/>
          <w:highlight w:val="none"/>
          <w:lang w:val="en-US" w:eastAsia="zh-CN"/>
        </w:rPr>
        <w:t>5</w:t>
      </w:r>
      <w:r>
        <w:rPr>
          <w:b w:val="0"/>
          <w:bCs w:val="0"/>
          <w:color w:val="auto"/>
          <w:sz w:val="24"/>
          <w:szCs w:val="24"/>
          <w:highlight w:val="none"/>
        </w:rPr>
        <w:t>2×0.</w:t>
      </w:r>
      <w:r>
        <w:rPr>
          <w:rFonts w:hint="eastAsia"/>
          <w:b w:val="0"/>
          <w:bCs w:val="0"/>
          <w:color w:val="auto"/>
          <w:sz w:val="24"/>
          <w:szCs w:val="24"/>
          <w:highlight w:val="none"/>
          <w:lang w:val="en-US" w:eastAsia="zh-CN"/>
        </w:rPr>
        <w:t>0702</w:t>
      </w:r>
      <w:r>
        <w:rPr>
          <w:b w:val="0"/>
          <w:bCs w:val="0"/>
          <w:color w:val="auto"/>
          <w:sz w:val="24"/>
          <w:szCs w:val="24"/>
          <w:highlight w:val="none"/>
        </w:rPr>
        <w:t>×10=</w:t>
      </w:r>
      <w:r>
        <w:rPr>
          <w:rFonts w:hint="eastAsia"/>
          <w:b w:val="0"/>
          <w:bCs w:val="0"/>
          <w:color w:val="auto"/>
          <w:sz w:val="24"/>
          <w:szCs w:val="24"/>
          <w:highlight w:val="none"/>
          <w:lang w:val="en-US" w:eastAsia="zh-CN"/>
        </w:rPr>
        <w:t>0.177</w:t>
      </w:r>
      <w:r>
        <w:rPr>
          <w:b w:val="0"/>
          <w:bCs w:val="0"/>
          <w:color w:val="auto"/>
          <w:sz w:val="24"/>
          <w:szCs w:val="24"/>
          <w:highlight w:val="none"/>
        </w:rPr>
        <w:t>t/a</w:t>
      </w:r>
    </w:p>
    <w:p>
      <w:pPr>
        <w:pStyle w:val="99"/>
        <w:adjustRightInd w:val="0"/>
        <w:snapToGrid w:val="0"/>
        <w:spacing w:line="500" w:lineRule="exact"/>
        <w:ind w:firstLine="720" w:firstLineChars="300"/>
        <w:rPr>
          <w:rFonts w:hint="default"/>
          <w:b w:val="0"/>
          <w:bCs w:val="0"/>
          <w:color w:val="auto"/>
          <w:sz w:val="24"/>
          <w:szCs w:val="24"/>
          <w:highlight w:val="none"/>
        </w:rPr>
      </w:pPr>
      <w:r>
        <w:rPr>
          <w:b w:val="0"/>
          <w:bCs w:val="0"/>
          <w:color w:val="auto"/>
          <w:sz w:val="24"/>
          <w:szCs w:val="24"/>
          <w:highlight w:val="none"/>
        </w:rPr>
        <w:t>E</w:t>
      </w:r>
      <w:r>
        <w:rPr>
          <w:b w:val="0"/>
          <w:bCs w:val="0"/>
          <w:color w:val="auto"/>
          <w:sz w:val="24"/>
          <w:szCs w:val="24"/>
          <w:highlight w:val="none"/>
          <w:vertAlign w:val="subscript"/>
        </w:rPr>
        <w:t>SO2</w:t>
      </w:r>
      <w:r>
        <w:rPr>
          <w:b w:val="0"/>
          <w:bCs w:val="0"/>
          <w:color w:val="auto"/>
          <w:sz w:val="24"/>
          <w:szCs w:val="24"/>
          <w:highlight w:val="none"/>
        </w:rPr>
        <w:t>=0.</w:t>
      </w:r>
      <w:r>
        <w:rPr>
          <w:rFonts w:hint="eastAsia"/>
          <w:b w:val="0"/>
          <w:bCs w:val="0"/>
          <w:color w:val="auto"/>
          <w:sz w:val="24"/>
          <w:szCs w:val="24"/>
          <w:highlight w:val="none"/>
          <w:lang w:val="en-US" w:eastAsia="zh-CN"/>
        </w:rPr>
        <w:t>874</w:t>
      </w:r>
      <w:r>
        <w:rPr>
          <w:b w:val="0"/>
          <w:bCs w:val="0"/>
          <w:color w:val="auto"/>
          <w:sz w:val="24"/>
          <w:szCs w:val="24"/>
          <w:highlight w:val="none"/>
        </w:rPr>
        <w:t>×0.</w:t>
      </w:r>
      <w:r>
        <w:rPr>
          <w:rFonts w:hint="eastAsia"/>
          <w:b w:val="0"/>
          <w:bCs w:val="0"/>
          <w:color w:val="auto"/>
          <w:sz w:val="24"/>
          <w:szCs w:val="24"/>
          <w:highlight w:val="none"/>
          <w:lang w:val="en-US" w:eastAsia="zh-CN"/>
        </w:rPr>
        <w:t>0702</w:t>
      </w:r>
      <w:r>
        <w:rPr>
          <w:b w:val="0"/>
          <w:bCs w:val="0"/>
          <w:color w:val="auto"/>
          <w:sz w:val="24"/>
          <w:szCs w:val="24"/>
          <w:highlight w:val="none"/>
        </w:rPr>
        <w:t>×10=</w:t>
      </w:r>
      <w:r>
        <w:rPr>
          <w:rFonts w:hint="eastAsia"/>
          <w:b w:val="0"/>
          <w:bCs w:val="0"/>
          <w:color w:val="auto"/>
          <w:sz w:val="24"/>
          <w:szCs w:val="24"/>
          <w:highlight w:val="none"/>
          <w:lang w:val="en-US" w:eastAsia="zh-CN"/>
        </w:rPr>
        <w:t>0.614</w:t>
      </w:r>
      <w:r>
        <w:rPr>
          <w:b w:val="0"/>
          <w:bCs w:val="0"/>
          <w:color w:val="auto"/>
          <w:sz w:val="24"/>
          <w:szCs w:val="24"/>
          <w:highlight w:val="none"/>
        </w:rPr>
        <w:t>t/a</w:t>
      </w:r>
    </w:p>
    <w:p>
      <w:pPr>
        <w:pStyle w:val="99"/>
        <w:adjustRightInd w:val="0"/>
        <w:snapToGrid w:val="0"/>
        <w:spacing w:line="500" w:lineRule="exact"/>
        <w:ind w:firstLine="720" w:firstLineChars="300"/>
        <w:rPr>
          <w:rFonts w:hint="default"/>
          <w:b w:val="0"/>
          <w:bCs w:val="0"/>
          <w:color w:val="auto"/>
          <w:sz w:val="24"/>
          <w:szCs w:val="24"/>
          <w:highlight w:val="none"/>
        </w:rPr>
      </w:pPr>
      <w:r>
        <w:rPr>
          <w:b w:val="0"/>
          <w:bCs w:val="0"/>
          <w:color w:val="auto"/>
          <w:sz w:val="24"/>
          <w:szCs w:val="24"/>
          <w:highlight w:val="none"/>
        </w:rPr>
        <w:t>E</w:t>
      </w:r>
      <w:r>
        <w:rPr>
          <w:b w:val="0"/>
          <w:bCs w:val="0"/>
          <w:color w:val="auto"/>
          <w:sz w:val="24"/>
          <w:szCs w:val="24"/>
          <w:highlight w:val="none"/>
          <w:vertAlign w:val="subscript"/>
        </w:rPr>
        <w:t>NOx=</w:t>
      </w:r>
      <w:r>
        <w:rPr>
          <w:b w:val="0"/>
          <w:bCs w:val="0"/>
          <w:color w:val="auto"/>
          <w:sz w:val="24"/>
          <w:szCs w:val="24"/>
          <w:highlight w:val="none"/>
        </w:rPr>
        <w:t>2.</w:t>
      </w:r>
      <w:r>
        <w:rPr>
          <w:rFonts w:hint="eastAsia"/>
          <w:b w:val="0"/>
          <w:bCs w:val="0"/>
          <w:color w:val="auto"/>
          <w:sz w:val="24"/>
          <w:szCs w:val="24"/>
          <w:highlight w:val="none"/>
          <w:lang w:val="en-US" w:eastAsia="zh-CN"/>
        </w:rPr>
        <w:t>537</w:t>
      </w:r>
      <w:r>
        <w:rPr>
          <w:b w:val="0"/>
          <w:bCs w:val="0"/>
          <w:color w:val="auto"/>
          <w:sz w:val="24"/>
          <w:szCs w:val="24"/>
          <w:highlight w:val="none"/>
        </w:rPr>
        <w:t>×0.</w:t>
      </w:r>
      <w:r>
        <w:rPr>
          <w:rFonts w:hint="eastAsia"/>
          <w:b w:val="0"/>
          <w:bCs w:val="0"/>
          <w:color w:val="auto"/>
          <w:sz w:val="24"/>
          <w:szCs w:val="24"/>
          <w:highlight w:val="none"/>
          <w:lang w:val="en-US" w:eastAsia="zh-CN"/>
        </w:rPr>
        <w:t>0702</w:t>
      </w:r>
      <w:r>
        <w:rPr>
          <w:b w:val="0"/>
          <w:bCs w:val="0"/>
          <w:color w:val="auto"/>
          <w:sz w:val="24"/>
          <w:szCs w:val="24"/>
          <w:highlight w:val="none"/>
        </w:rPr>
        <w:t>×10=</w:t>
      </w:r>
      <w:r>
        <w:rPr>
          <w:rFonts w:hint="eastAsia"/>
          <w:b w:val="0"/>
          <w:bCs w:val="0"/>
          <w:color w:val="auto"/>
          <w:sz w:val="24"/>
          <w:szCs w:val="24"/>
          <w:highlight w:val="none"/>
          <w:lang w:val="en-US" w:eastAsia="zh-CN"/>
        </w:rPr>
        <w:t>1.781</w:t>
      </w:r>
      <w:r>
        <w:rPr>
          <w:b w:val="0"/>
          <w:bCs w:val="0"/>
          <w:color w:val="auto"/>
          <w:sz w:val="24"/>
          <w:szCs w:val="24"/>
          <w:highlight w:val="none"/>
        </w:rPr>
        <w:t>t/a</w:t>
      </w:r>
    </w:p>
    <w:p>
      <w:pPr>
        <w:pStyle w:val="99"/>
        <w:adjustRightInd w:val="0"/>
        <w:snapToGrid w:val="0"/>
        <w:spacing w:line="360" w:lineRule="auto"/>
        <w:ind w:firstLine="480" w:firstLineChars="200"/>
        <w:rPr>
          <w:rFonts w:hint="default"/>
          <w:color w:val="auto"/>
          <w:sz w:val="24"/>
          <w:szCs w:val="24"/>
        </w:rPr>
      </w:pPr>
      <w:r>
        <w:rPr>
          <w:color w:val="auto"/>
          <w:sz w:val="24"/>
          <w:szCs w:val="24"/>
        </w:rPr>
        <w:t>2、粉尘</w:t>
      </w:r>
    </w:p>
    <w:p>
      <w:pPr>
        <w:spacing w:line="360" w:lineRule="auto"/>
        <w:ind w:firstLine="480" w:firstLineChars="200"/>
        <w:rPr>
          <w:rFonts w:hint="eastAsia" w:eastAsia="宋体"/>
          <w:color w:val="auto"/>
          <w:sz w:val="24"/>
          <w:szCs w:val="24"/>
          <w:lang w:eastAsia="zh-CN"/>
        </w:rPr>
      </w:pPr>
      <w:r>
        <w:rPr>
          <w:color w:val="auto"/>
          <w:sz w:val="24"/>
        </w:rPr>
        <w:t>根据上文内容可知：</w:t>
      </w:r>
      <w:r>
        <w:rPr>
          <w:rFonts w:hint="eastAsia" w:ascii="Times New Roman" w:hAnsi="Times New Roman" w:eastAsia="宋体" w:cs="Times New Roman"/>
          <w:color w:val="auto"/>
          <w:kern w:val="0"/>
          <w:sz w:val="24"/>
          <w:szCs w:val="20"/>
          <w:lang w:val="en-US" w:eastAsia="zh-CN" w:bidi="ar-SA"/>
        </w:rPr>
        <w:t>装卸、输送工序，筛选工序，烘干工序</w:t>
      </w:r>
      <w:r>
        <w:rPr>
          <w:rFonts w:hint="default"/>
          <w:color w:val="auto"/>
          <w:sz w:val="24"/>
        </w:rPr>
        <w:t>无组织</w:t>
      </w:r>
      <w:r>
        <w:rPr>
          <w:color w:val="auto"/>
          <w:sz w:val="24"/>
        </w:rPr>
        <w:t>颗粒物预测</w:t>
      </w:r>
      <w:r>
        <w:rPr>
          <w:rFonts w:hint="default"/>
          <w:color w:val="auto"/>
          <w:sz w:val="24"/>
        </w:rPr>
        <w:t>排放量为</w:t>
      </w:r>
      <w:r>
        <w:rPr>
          <w:rFonts w:hint="eastAsia"/>
          <w:color w:val="auto"/>
          <w:sz w:val="24"/>
          <w:lang w:val="en-US" w:eastAsia="zh-CN"/>
        </w:rPr>
        <w:t>0.624</w:t>
      </w:r>
      <w:r>
        <w:rPr>
          <w:rFonts w:hint="default"/>
          <w:color w:val="auto"/>
          <w:sz w:val="24"/>
        </w:rPr>
        <w:t>t/a</w:t>
      </w:r>
      <w:r>
        <w:rPr>
          <w:color w:val="auto"/>
          <w:sz w:val="24"/>
        </w:rPr>
        <w:t>，无组织预测排放量与核定排放量一致。则：</w:t>
      </w:r>
      <w:r>
        <w:rPr>
          <w:rFonts w:hint="eastAsia" w:ascii="Times New Roman" w:hAnsi="Times New Roman" w:eastAsia="宋体" w:cs="Times New Roman"/>
          <w:color w:val="auto"/>
          <w:kern w:val="0"/>
          <w:sz w:val="24"/>
          <w:szCs w:val="20"/>
          <w:lang w:val="en-US" w:eastAsia="zh-CN" w:bidi="ar-SA"/>
        </w:rPr>
        <w:t>装卸、输送工序，筛选工序，烘干工序</w:t>
      </w:r>
      <w:r>
        <w:rPr>
          <w:rFonts w:hint="default"/>
          <w:color w:val="auto"/>
          <w:sz w:val="24"/>
        </w:rPr>
        <w:t>无组织</w:t>
      </w:r>
      <w:r>
        <w:rPr>
          <w:color w:val="auto"/>
          <w:sz w:val="24"/>
        </w:rPr>
        <w:t>颗粒物核定排放量</w:t>
      </w:r>
      <w:r>
        <w:rPr>
          <w:rFonts w:hint="eastAsia"/>
          <w:color w:val="auto"/>
          <w:sz w:val="24"/>
          <w:lang w:val="en-US" w:eastAsia="zh-CN"/>
        </w:rPr>
        <w:t>0.624</w:t>
      </w:r>
      <w:r>
        <w:rPr>
          <w:rFonts w:hint="default"/>
          <w:color w:val="auto"/>
          <w:sz w:val="24"/>
        </w:rPr>
        <w:t>t/a</w:t>
      </w:r>
      <w:r>
        <w:rPr>
          <w:rFonts w:hint="eastAsia"/>
          <w:color w:val="auto"/>
          <w:sz w:val="24"/>
          <w:lang w:eastAsia="zh-CN"/>
        </w:rPr>
        <w:t>。</w:t>
      </w:r>
    </w:p>
    <w:p>
      <w:pPr>
        <w:rPr>
          <w:rFonts w:hint="default" w:cs="宋体"/>
          <w:b/>
          <w:color w:val="auto"/>
          <w:sz w:val="24"/>
        </w:rPr>
      </w:pPr>
    </w:p>
    <w:p>
      <w:pPr>
        <w:jc w:val="center"/>
        <w:rPr>
          <w:rFonts w:hint="default" w:eastAsia="黑体"/>
          <w:color w:val="auto"/>
          <w:sz w:val="24"/>
          <w:szCs w:val="24"/>
        </w:rPr>
      </w:pPr>
      <w:r>
        <w:rPr>
          <w:rFonts w:hint="default" w:eastAsia="黑体"/>
          <w:color w:val="auto"/>
          <w:sz w:val="24"/>
          <w:szCs w:val="24"/>
        </w:rPr>
        <w:t>表</w:t>
      </w:r>
      <w:r>
        <w:rPr>
          <w:rFonts w:eastAsia="黑体"/>
          <w:color w:val="auto"/>
          <w:sz w:val="24"/>
          <w:szCs w:val="24"/>
        </w:rPr>
        <w:t>2</w:t>
      </w:r>
      <w:r>
        <w:rPr>
          <w:rFonts w:hint="default" w:eastAsia="黑体"/>
          <w:color w:val="auto"/>
          <w:sz w:val="24"/>
          <w:szCs w:val="24"/>
        </w:rPr>
        <w:t xml:space="preserve"> </w:t>
      </w:r>
      <w:r>
        <w:rPr>
          <w:rFonts w:eastAsia="黑体"/>
          <w:color w:val="auto"/>
          <w:sz w:val="24"/>
          <w:szCs w:val="24"/>
        </w:rPr>
        <w:t>本项目污染物</w:t>
      </w:r>
      <w:r>
        <w:rPr>
          <w:rFonts w:hint="default" w:eastAsia="黑体"/>
          <w:color w:val="auto"/>
          <w:sz w:val="24"/>
          <w:szCs w:val="24"/>
        </w:rPr>
        <w:t>核定排放量</w:t>
      </w:r>
    </w:p>
    <w:tbl>
      <w:tblPr>
        <w:tblStyle w:val="103"/>
        <w:tblW w:w="82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2818"/>
        <w:gridCol w:w="3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Align w:val="center"/>
          </w:tcPr>
          <w:p>
            <w:pPr>
              <w:pStyle w:val="102"/>
              <w:rPr>
                <w:rFonts w:hint="default" w:ascii="Times New Roman" w:hAnsi="Times New Roman" w:cs="Times New Roman"/>
                <w:snapToGrid w:val="0"/>
                <w:color w:val="auto"/>
                <w:sz w:val="21"/>
                <w:szCs w:val="21"/>
                <w:lang w:val="zh-CN"/>
              </w:rPr>
            </w:pPr>
            <w:r>
              <w:rPr>
                <w:rFonts w:hint="default" w:ascii="Times New Roman" w:hAnsi="Times New Roman" w:cs="Times New Roman"/>
                <w:snapToGrid w:val="0"/>
                <w:color w:val="auto"/>
                <w:sz w:val="21"/>
                <w:szCs w:val="21"/>
              </w:rPr>
              <w:t>分类</w:t>
            </w:r>
          </w:p>
        </w:tc>
        <w:tc>
          <w:tcPr>
            <w:tcW w:w="2818" w:type="dxa"/>
            <w:vAlign w:val="center"/>
          </w:tcPr>
          <w:p>
            <w:pPr>
              <w:pStyle w:val="102"/>
              <w:rPr>
                <w:rFonts w:hint="default" w:ascii="Times New Roman" w:hAnsi="Times New Roman" w:cs="Times New Roman"/>
                <w:snapToGrid w:val="0"/>
                <w:color w:val="auto"/>
                <w:sz w:val="21"/>
                <w:szCs w:val="21"/>
                <w:lang w:val="zh-CN"/>
              </w:rPr>
            </w:pPr>
            <w:r>
              <w:rPr>
                <w:rFonts w:hint="default" w:ascii="Times New Roman" w:hAnsi="Times New Roman" w:cs="Times New Roman"/>
                <w:snapToGrid w:val="0"/>
                <w:color w:val="auto"/>
                <w:sz w:val="21"/>
                <w:szCs w:val="21"/>
                <w:lang w:val="zh-CN"/>
              </w:rPr>
              <w:t>污染物</w:t>
            </w:r>
          </w:p>
        </w:tc>
        <w:tc>
          <w:tcPr>
            <w:tcW w:w="3315" w:type="dxa"/>
            <w:vAlign w:val="center"/>
          </w:tcPr>
          <w:p>
            <w:pPr>
              <w:pStyle w:val="102"/>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lang w:val="zh-CN"/>
              </w:rPr>
              <w:t>本</w:t>
            </w:r>
            <w:r>
              <w:rPr>
                <w:rFonts w:hint="default" w:ascii="Times New Roman" w:hAnsi="Times New Roman" w:cs="Times New Roman"/>
                <w:snapToGrid w:val="0"/>
                <w:color w:val="auto"/>
                <w:sz w:val="21"/>
                <w:szCs w:val="21"/>
              </w:rPr>
              <w:t>项目核定排放量</w:t>
            </w:r>
            <w:r>
              <w:rPr>
                <w:rFonts w:hint="default" w:ascii="Times New Roman" w:hAnsi="Times New Roman" w:cs="Times New Roman"/>
                <w:color w:val="auto"/>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Merge w:val="restart"/>
            <w:vAlign w:val="center"/>
          </w:tcPr>
          <w:p>
            <w:pPr>
              <w:pStyle w:val="102"/>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燃生物质热风炉烟气</w:t>
            </w:r>
          </w:p>
        </w:tc>
        <w:tc>
          <w:tcPr>
            <w:tcW w:w="2818" w:type="dxa"/>
            <w:vAlign w:val="center"/>
          </w:tcPr>
          <w:p>
            <w:pPr>
              <w:pStyle w:val="17"/>
              <w:numPr>
                <w:ilvl w:val="0"/>
                <w:numId w:val="0"/>
              </w:numPr>
              <w:jc w:val="center"/>
              <w:rPr>
                <w:rFonts w:hint="default" w:ascii="Times New Roman" w:hAnsi="Times New Roman" w:cs="Times New Roman"/>
                <w:snapToGrid w:val="0"/>
                <w:color w:val="auto"/>
                <w:szCs w:val="21"/>
              </w:rPr>
            </w:pPr>
            <w:r>
              <w:rPr>
                <w:rFonts w:hint="default" w:ascii="Times New Roman" w:hAnsi="Times New Roman" w:cs="Times New Roman"/>
                <w:color w:val="auto"/>
                <w:szCs w:val="22"/>
              </w:rPr>
              <w:t>颗粒物</w:t>
            </w:r>
          </w:p>
        </w:tc>
        <w:tc>
          <w:tcPr>
            <w:tcW w:w="3315"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Merge w:val="continue"/>
            <w:vAlign w:val="center"/>
          </w:tcPr>
          <w:p>
            <w:pPr>
              <w:pStyle w:val="102"/>
              <w:rPr>
                <w:rFonts w:hint="default" w:ascii="Times New Roman" w:hAnsi="Times New Roman" w:cs="Times New Roman"/>
                <w:snapToGrid w:val="0"/>
                <w:color w:val="auto"/>
                <w:sz w:val="21"/>
                <w:szCs w:val="21"/>
              </w:rPr>
            </w:pPr>
          </w:p>
        </w:tc>
        <w:tc>
          <w:tcPr>
            <w:tcW w:w="2818" w:type="dxa"/>
            <w:vAlign w:val="center"/>
          </w:tcPr>
          <w:p>
            <w:pPr>
              <w:pStyle w:val="23"/>
              <w:tabs>
                <w:tab w:val="right" w:leader="dot" w:pos="8296"/>
              </w:tabs>
              <w:ind w:left="0" w:leftChars="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SO</w:t>
            </w:r>
            <w:r>
              <w:rPr>
                <w:rFonts w:hint="default" w:ascii="Times New Roman" w:hAnsi="Times New Roman" w:cs="Times New Roman"/>
                <w:snapToGrid w:val="0"/>
                <w:color w:val="auto"/>
                <w:kern w:val="21"/>
                <w:szCs w:val="21"/>
                <w:vertAlign w:val="subscript"/>
              </w:rPr>
              <w:t>2</w:t>
            </w:r>
          </w:p>
        </w:tc>
        <w:tc>
          <w:tcPr>
            <w:tcW w:w="3315"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Merge w:val="continue"/>
            <w:vAlign w:val="center"/>
          </w:tcPr>
          <w:p>
            <w:pPr>
              <w:pStyle w:val="102"/>
              <w:rPr>
                <w:rFonts w:hint="default" w:ascii="Times New Roman" w:hAnsi="Times New Roman" w:cs="Times New Roman"/>
                <w:snapToGrid w:val="0"/>
                <w:color w:val="auto"/>
                <w:sz w:val="21"/>
                <w:szCs w:val="21"/>
              </w:rPr>
            </w:pPr>
          </w:p>
        </w:tc>
        <w:tc>
          <w:tcPr>
            <w:tcW w:w="2818" w:type="dxa"/>
            <w:vAlign w:val="center"/>
          </w:tcPr>
          <w:p>
            <w:pPr>
              <w:pStyle w:val="23"/>
              <w:tabs>
                <w:tab w:val="right" w:leader="dot" w:pos="8296"/>
              </w:tabs>
              <w:ind w:left="0" w:leftChars="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NOx</w:t>
            </w:r>
          </w:p>
        </w:tc>
        <w:tc>
          <w:tcPr>
            <w:tcW w:w="3315"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47" w:type="dxa"/>
            <w:vAlign w:val="center"/>
          </w:tcPr>
          <w:p>
            <w:pPr>
              <w:pStyle w:val="102"/>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粉尘</w:t>
            </w:r>
          </w:p>
        </w:tc>
        <w:tc>
          <w:tcPr>
            <w:tcW w:w="2818" w:type="dxa"/>
            <w:vAlign w:val="center"/>
          </w:tcPr>
          <w:p>
            <w:pPr>
              <w:pStyle w:val="23"/>
              <w:tabs>
                <w:tab w:val="right" w:leader="dot" w:pos="8296"/>
              </w:tabs>
              <w:ind w:left="0" w:leftChars="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颗粒物</w:t>
            </w:r>
          </w:p>
        </w:tc>
        <w:tc>
          <w:tcPr>
            <w:tcW w:w="3315"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0.624</w:t>
            </w:r>
          </w:p>
        </w:tc>
      </w:tr>
    </w:tbl>
    <w:p>
      <w:pPr>
        <w:pStyle w:val="36"/>
        <w:keepNext w:val="0"/>
        <w:keepLines w:val="0"/>
        <w:pageBreakBefore w:val="0"/>
        <w:widowControl w:val="0"/>
        <w:kinsoku/>
        <w:wordWrap/>
        <w:overflowPunct/>
        <w:topLinePunct w:val="0"/>
        <w:bidi w:val="0"/>
        <w:snapToGrid/>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pStyle w:val="27"/>
        <w:rPr>
          <w:rFonts w:hint="default"/>
          <w:color w:val="auto"/>
          <w:lang w:val="en-US" w:eastAsia="zh-CN"/>
        </w:rPr>
      </w:pPr>
    </w:p>
    <w:p>
      <w:pPr>
        <w:rPr>
          <w:rFonts w:hint="default"/>
          <w:color w:val="auto"/>
          <w:lang w:val="en-US" w:eastAsia="zh-CN"/>
        </w:rPr>
      </w:pPr>
    </w:p>
    <w:p>
      <w:pPr>
        <w:rPr>
          <w:rFonts w:hint="default"/>
          <w:color w:val="auto"/>
          <w:lang w:val="en-US" w:eastAsia="zh-CN"/>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1AB984E9-C313-4D7C-A8FC-94CE3CB568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55C098DC-4C1A-4D6E-9E63-C77EE963836C}"/>
  </w:font>
  <w:font w:name="仿宋">
    <w:panose1 w:val="02010609060101010101"/>
    <w:charset w:val="86"/>
    <w:family w:val="auto"/>
    <w:pitch w:val="default"/>
    <w:sig w:usb0="800002BF" w:usb1="38CF7CFA" w:usb2="00000016" w:usb3="00000000" w:csb0="00040001" w:csb1="00000000"/>
    <w:embedRegular r:id="rId3" w:fontKey="{B7DF51CB-5582-459C-815A-DC22AE1A5408}"/>
  </w:font>
  <w:font w:name="方正小标宋_GBK">
    <w:panose1 w:val="02000000000000000000"/>
    <w:charset w:val="86"/>
    <w:family w:val="script"/>
    <w:pitch w:val="default"/>
    <w:sig w:usb0="00000000" w:usb1="00000000" w:usb2="00000000" w:usb3="00000000" w:csb0="00000000" w:csb1="00000000"/>
    <w:embedRegular r:id="rId4" w:fontKey="{7506F8CC-6B2F-4AA9-B382-6DB10A67E033}"/>
  </w:font>
  <w:font w:name="楷体_GB2312">
    <w:panose1 w:val="02010609030101010101"/>
    <w:charset w:val="86"/>
    <w:family w:val="modern"/>
    <w:pitch w:val="default"/>
    <w:sig w:usb0="00000001" w:usb1="080E0000" w:usb2="00000000" w:usb3="00000000" w:csb0="00040000" w:csb1="00000000"/>
    <w:embedRegular r:id="rId5" w:fontKey="{CA97C0FB-4361-4380-BA22-7414E3777704}"/>
  </w:font>
  <w:font w:name="等线">
    <w:panose1 w:val="02010600030101010101"/>
    <w:charset w:val="86"/>
    <w:family w:val="auto"/>
    <w:pitch w:val="default"/>
    <w:sig w:usb0="A00002BF" w:usb1="38CF7CFA" w:usb2="00000016" w:usb3="00000000" w:csb0="0004000F" w:csb1="00000000"/>
    <w:embedRegular r:id="rId6" w:fontKey="{44AEFD9B-0061-4DDB-96DD-B3102454F34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3"/>
      </w:rPr>
    </w:pPr>
    <w:r>
      <w:fldChar w:fldCharType="begin"/>
    </w:r>
    <w:r>
      <w:rPr>
        <w:rStyle w:val="33"/>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zO28cBAAB0AwAADgAAAGRycy9lMm9Eb2MueG1srVPNjtMwEL4j8Q6W&#10;79TZCFZVVHfF7moREgKkhQdwHbuxFP9o7DYpDwBvwIkLd56rz8HYabrA3lZcnPHMeOb7Zr6srkbb&#10;k72CaLzj9GJRUaKc9K1xW04/f7p7saQkJuFa0XunOD2oSK/Wz5+thtCo2ne+bxUQLOJiMwROu5RC&#10;w1iUnbIiLnxQDoPagxUJr7BlLYgBq9ue1VV1yQYPbQAvVYzovZ2CdF3qa61k+qB1VIn0nCK2VE4o&#10;5yafbL0SzRZE6Iw8wRBPQGGFcdj0XOpWJEF2YB6VskaCj16nhfSWea2NVIUDsrmo/mFz34mgChcc&#10;TgznMcX/V1a+338EYlpOX15S4oTFHR2/fzv++HX8+ZXU1as6j2gIscHM+4C5abz2I6569kd0Zuaj&#10;Bpu/yIlgHId9OA9YjYnI/GhZL5cVhiTG5gvWZw/PA8T0RnlLssEp4AbLYMX+XUxT6pySuzl/Z/q+&#10;bLF3fzmwZvawjH3CmK00bsYToY1vD8gHxYt9Og9fKBlQCJw6VCol/VuHc86amQ2Yjc1sCCfxIaeJ&#10;ksm8SZO2dgHMtitqy6BieL1LiLQQyDCm3id0uNoygpMMs3b+vJesh5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wszO28cBAAB0AwAADgAAAAAAAAABACAAAAAeAQAAZHJzL2Uyb0RvYy54&#10;bWxQSwUGAAAAAAYABgBZAQAAVwU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ELoMgBAAB0AwAADgAAAGRycy9lMm9Eb2MueG1srVPNbhMxEL4j8Q6W&#10;78TbqEC0ilO1VEVICJDaPoDjtbOW1j8aO9kNDwBvwIkLd54rz9GxN5tCe0NcvOOZ8cz3zXy7vBhs&#10;R3YKovGO07NZRYly0jfGbTi9v7t5taAkJuEa0XmnON2rSC9WL18s+1CruW991yggWMTFug+ctimF&#10;mrEoW2VFnPmgHAa1BysSXmHDGhA9Vrcdm1fVG9Z7aAJ4qWJE7/UYpKtSX2sl02eto0qk4xSxpXJC&#10;Odf5ZKulqDcgQmvkEYb4BxRWGIdNT6WuRRJkC+ZZKWsk+Oh1mklvmdfaSFU4IJuz6gmb21YEVbjg&#10;cGI4jSn+v7Ly0+4LENNwev6WEics7ujw4/vh5+/Dr29kXr0+zyPqQ6wx8zZgbhqu/ICrnvwRnZn5&#10;oMHmL3IiGMdh708DVkMiMj9azBeLCkMSY9MF67PH5wFieq+8JdngFHCDZbBi9zGmMXVKyd2cvzFd&#10;V7bYub8cWDN7WMY+YsxWGtbDkdDaN3vkg+LFPq2Hr5T0KAROHSqVku6DwzlnzUwGTMZ6MoST+JDT&#10;RMlovkujtrYBzKYtasugYrjcJkRaCGQYY+8jOlxtGcFRhlk7f95L1uP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5xC6DIAQAAdAMAAA4AAAAAAAAAAQAgAAAAHgEAAGRycy9lMm9Eb2Mu&#10;eG1sUEsFBgAAAAAGAAYAWQEAAFgFA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CDBC6E"/>
    <w:multiLevelType w:val="singleLevel"/>
    <w:tmpl w:val="A5CDBC6E"/>
    <w:lvl w:ilvl="0" w:tentative="0">
      <w:start w:val="5"/>
      <w:numFmt w:val="decimal"/>
      <w:suff w:val="nothing"/>
      <w:lvlText w:val="（%1）"/>
      <w:lvlJc w:val="left"/>
    </w:lvl>
  </w:abstractNum>
  <w:abstractNum w:abstractNumId="1">
    <w:nsid w:val="C982EB17"/>
    <w:multiLevelType w:val="singleLevel"/>
    <w:tmpl w:val="C982EB17"/>
    <w:lvl w:ilvl="0" w:tentative="0">
      <w:start w:val="1"/>
      <w:numFmt w:val="decimal"/>
      <w:suff w:val="nothing"/>
      <w:lvlText w:val="%1、"/>
      <w:lvlJc w:val="left"/>
    </w:lvl>
  </w:abstractNum>
  <w:abstractNum w:abstractNumId="2">
    <w:nsid w:val="155218AF"/>
    <w:multiLevelType w:val="multilevel"/>
    <w:tmpl w:val="155218AF"/>
    <w:lvl w:ilvl="0" w:tentative="0">
      <w:start w:val="1"/>
      <w:numFmt w:val="decimal"/>
      <w:pStyle w:val="63"/>
      <w:lvlText w:val="表%1"/>
      <w:lvlJc w:val="left"/>
      <w:pPr>
        <w:ind w:left="620" w:hanging="4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
    <w:nsid w:val="212D18B1"/>
    <w:multiLevelType w:val="singleLevel"/>
    <w:tmpl w:val="212D18B1"/>
    <w:lvl w:ilvl="0" w:tentative="0">
      <w:start w:val="1"/>
      <w:numFmt w:val="decimal"/>
      <w:suff w:val="nothing"/>
      <w:lvlText w:val="%1、"/>
      <w:lvlJc w:val="left"/>
    </w:lvl>
  </w:abstractNum>
  <w:abstractNum w:abstractNumId="4">
    <w:nsid w:val="76896012"/>
    <w:multiLevelType w:val="singleLevel"/>
    <w:tmpl w:val="76896012"/>
    <w:lvl w:ilvl="0" w:tentative="0">
      <w:start w:val="1"/>
      <w:numFmt w:val="bullet"/>
      <w:pStyle w:val="17"/>
      <w:lvlText w:val=""/>
      <w:lvlJc w:val="left"/>
      <w:pPr>
        <w:tabs>
          <w:tab w:val="left" w:pos="2040"/>
        </w:tabs>
        <w:ind w:left="2040" w:hanging="360"/>
      </w:pPr>
      <w:rPr>
        <w:rFonts w:hint="default" w:ascii="Wingdings" w:hAnsi="Wingding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E0ODY0YzUzMzU2N2EyOTFkYjA4ZWVlNmY4ND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6E7F"/>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EE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603E"/>
    <w:rsid w:val="00B1078B"/>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1D0"/>
    <w:rsid w:val="00F80A0A"/>
    <w:rsid w:val="00F82B19"/>
    <w:rsid w:val="00F9212D"/>
    <w:rsid w:val="00F965DA"/>
    <w:rsid w:val="00FA406A"/>
    <w:rsid w:val="00FB503A"/>
    <w:rsid w:val="00FB516C"/>
    <w:rsid w:val="00FD0236"/>
    <w:rsid w:val="00FD18F4"/>
    <w:rsid w:val="00FD54DB"/>
    <w:rsid w:val="00FD619F"/>
    <w:rsid w:val="011121E8"/>
    <w:rsid w:val="01290F7E"/>
    <w:rsid w:val="015D1E09"/>
    <w:rsid w:val="017B6B58"/>
    <w:rsid w:val="019033CD"/>
    <w:rsid w:val="01981E86"/>
    <w:rsid w:val="01D2320F"/>
    <w:rsid w:val="02167FC9"/>
    <w:rsid w:val="021B3862"/>
    <w:rsid w:val="02261B9E"/>
    <w:rsid w:val="02697903"/>
    <w:rsid w:val="027D6FE3"/>
    <w:rsid w:val="02B97880"/>
    <w:rsid w:val="02DB7FEA"/>
    <w:rsid w:val="02F96569"/>
    <w:rsid w:val="03575264"/>
    <w:rsid w:val="0359750E"/>
    <w:rsid w:val="038B79FE"/>
    <w:rsid w:val="03EA7B21"/>
    <w:rsid w:val="03F260D5"/>
    <w:rsid w:val="04400509"/>
    <w:rsid w:val="046D182C"/>
    <w:rsid w:val="04C8613F"/>
    <w:rsid w:val="05097A6D"/>
    <w:rsid w:val="05842F33"/>
    <w:rsid w:val="059F6D52"/>
    <w:rsid w:val="05D61372"/>
    <w:rsid w:val="05EB3A8F"/>
    <w:rsid w:val="05F83EAE"/>
    <w:rsid w:val="060302C9"/>
    <w:rsid w:val="06185823"/>
    <w:rsid w:val="062F5408"/>
    <w:rsid w:val="063E7D85"/>
    <w:rsid w:val="06455F74"/>
    <w:rsid w:val="06CD0B19"/>
    <w:rsid w:val="07293586"/>
    <w:rsid w:val="07295285"/>
    <w:rsid w:val="074D6D6B"/>
    <w:rsid w:val="07636392"/>
    <w:rsid w:val="07770C56"/>
    <w:rsid w:val="07CD489F"/>
    <w:rsid w:val="08372940"/>
    <w:rsid w:val="08707328"/>
    <w:rsid w:val="08BA0E3B"/>
    <w:rsid w:val="08C475AE"/>
    <w:rsid w:val="08F6498F"/>
    <w:rsid w:val="092217DD"/>
    <w:rsid w:val="093A7294"/>
    <w:rsid w:val="099830FE"/>
    <w:rsid w:val="0A0E259B"/>
    <w:rsid w:val="0A1B74D6"/>
    <w:rsid w:val="0A1D015B"/>
    <w:rsid w:val="0A255CB5"/>
    <w:rsid w:val="0A263993"/>
    <w:rsid w:val="0A2D3AC2"/>
    <w:rsid w:val="0A361932"/>
    <w:rsid w:val="0AA755DF"/>
    <w:rsid w:val="0B041011"/>
    <w:rsid w:val="0B120D44"/>
    <w:rsid w:val="0B676151"/>
    <w:rsid w:val="0B701CFA"/>
    <w:rsid w:val="0B9F6E8C"/>
    <w:rsid w:val="0BA85FDE"/>
    <w:rsid w:val="0BC5686F"/>
    <w:rsid w:val="0BD27BF6"/>
    <w:rsid w:val="0BD302DF"/>
    <w:rsid w:val="0BE42C4E"/>
    <w:rsid w:val="0C2A0C3B"/>
    <w:rsid w:val="0C3B3C7D"/>
    <w:rsid w:val="0C5E4350"/>
    <w:rsid w:val="0C623AD8"/>
    <w:rsid w:val="0CAB2EAE"/>
    <w:rsid w:val="0CCB2787"/>
    <w:rsid w:val="0CCE444A"/>
    <w:rsid w:val="0CE73BD2"/>
    <w:rsid w:val="0D621C7D"/>
    <w:rsid w:val="0DB433B1"/>
    <w:rsid w:val="0DF26598"/>
    <w:rsid w:val="0E0D1141"/>
    <w:rsid w:val="0E1F1513"/>
    <w:rsid w:val="0E423DE1"/>
    <w:rsid w:val="0E73034D"/>
    <w:rsid w:val="0E9D1781"/>
    <w:rsid w:val="0E9F5443"/>
    <w:rsid w:val="0F13775A"/>
    <w:rsid w:val="0F1F2AEA"/>
    <w:rsid w:val="0F3A4F92"/>
    <w:rsid w:val="0F3D758C"/>
    <w:rsid w:val="0F5B5092"/>
    <w:rsid w:val="0F5F45FE"/>
    <w:rsid w:val="0F8A441C"/>
    <w:rsid w:val="0F9A112B"/>
    <w:rsid w:val="0FAB6BF2"/>
    <w:rsid w:val="0FF91F6B"/>
    <w:rsid w:val="106D2F64"/>
    <w:rsid w:val="108D0CFD"/>
    <w:rsid w:val="10A130A2"/>
    <w:rsid w:val="10A9038F"/>
    <w:rsid w:val="10B63710"/>
    <w:rsid w:val="10B66091"/>
    <w:rsid w:val="10BD52A8"/>
    <w:rsid w:val="10C9278D"/>
    <w:rsid w:val="10F10820"/>
    <w:rsid w:val="11014C09"/>
    <w:rsid w:val="110A6BD7"/>
    <w:rsid w:val="111C2F7A"/>
    <w:rsid w:val="11665CA1"/>
    <w:rsid w:val="11C915E0"/>
    <w:rsid w:val="11DB10E2"/>
    <w:rsid w:val="11FC3698"/>
    <w:rsid w:val="1222743B"/>
    <w:rsid w:val="12333462"/>
    <w:rsid w:val="13137E5F"/>
    <w:rsid w:val="13223A43"/>
    <w:rsid w:val="13250848"/>
    <w:rsid w:val="136873B3"/>
    <w:rsid w:val="137919E5"/>
    <w:rsid w:val="13951726"/>
    <w:rsid w:val="139C31B4"/>
    <w:rsid w:val="14197EED"/>
    <w:rsid w:val="14396509"/>
    <w:rsid w:val="143C00A0"/>
    <w:rsid w:val="143C5B6F"/>
    <w:rsid w:val="14691F82"/>
    <w:rsid w:val="14AA3362"/>
    <w:rsid w:val="14AF359B"/>
    <w:rsid w:val="14B55F96"/>
    <w:rsid w:val="14CB4D46"/>
    <w:rsid w:val="14DD2C3C"/>
    <w:rsid w:val="14E121AE"/>
    <w:rsid w:val="152E3EA7"/>
    <w:rsid w:val="15461D15"/>
    <w:rsid w:val="15751255"/>
    <w:rsid w:val="15895A52"/>
    <w:rsid w:val="15AD48E8"/>
    <w:rsid w:val="15DA0777"/>
    <w:rsid w:val="15F73341"/>
    <w:rsid w:val="15F83DA8"/>
    <w:rsid w:val="15FE57F2"/>
    <w:rsid w:val="16087E1D"/>
    <w:rsid w:val="162B4EB1"/>
    <w:rsid w:val="16576794"/>
    <w:rsid w:val="16914AB6"/>
    <w:rsid w:val="17214B15"/>
    <w:rsid w:val="173F67CA"/>
    <w:rsid w:val="17453684"/>
    <w:rsid w:val="17575798"/>
    <w:rsid w:val="17701D14"/>
    <w:rsid w:val="17735226"/>
    <w:rsid w:val="17883F1B"/>
    <w:rsid w:val="17A9701D"/>
    <w:rsid w:val="17EF6030"/>
    <w:rsid w:val="18531E8F"/>
    <w:rsid w:val="18671A52"/>
    <w:rsid w:val="18742FF5"/>
    <w:rsid w:val="189F624C"/>
    <w:rsid w:val="18D06CC6"/>
    <w:rsid w:val="18D55C16"/>
    <w:rsid w:val="190C7F4A"/>
    <w:rsid w:val="19490C49"/>
    <w:rsid w:val="19565CC0"/>
    <w:rsid w:val="19676F62"/>
    <w:rsid w:val="19AD6EF2"/>
    <w:rsid w:val="19CD5980"/>
    <w:rsid w:val="1A122317"/>
    <w:rsid w:val="1A1C3F14"/>
    <w:rsid w:val="1A1C66C0"/>
    <w:rsid w:val="1A42393B"/>
    <w:rsid w:val="1A814378"/>
    <w:rsid w:val="1A84413A"/>
    <w:rsid w:val="1AAD45DE"/>
    <w:rsid w:val="1ABD795F"/>
    <w:rsid w:val="1AD70F2D"/>
    <w:rsid w:val="1B046F80"/>
    <w:rsid w:val="1B1473BC"/>
    <w:rsid w:val="1B197F31"/>
    <w:rsid w:val="1B2E2687"/>
    <w:rsid w:val="1B3267B5"/>
    <w:rsid w:val="1B40161D"/>
    <w:rsid w:val="1B441859"/>
    <w:rsid w:val="1B6606B1"/>
    <w:rsid w:val="1B794D59"/>
    <w:rsid w:val="1B9E5220"/>
    <w:rsid w:val="1BA52478"/>
    <w:rsid w:val="1BE45B9D"/>
    <w:rsid w:val="1C2A6AC2"/>
    <w:rsid w:val="1C4228FA"/>
    <w:rsid w:val="1C5A5F7D"/>
    <w:rsid w:val="1C5E7925"/>
    <w:rsid w:val="1C636D7B"/>
    <w:rsid w:val="1C6671ED"/>
    <w:rsid w:val="1C97580E"/>
    <w:rsid w:val="1C9C6A8E"/>
    <w:rsid w:val="1CA04F1C"/>
    <w:rsid w:val="1CBA10F7"/>
    <w:rsid w:val="1CD03DAB"/>
    <w:rsid w:val="1CD25EE5"/>
    <w:rsid w:val="1CFD070F"/>
    <w:rsid w:val="1D5F6196"/>
    <w:rsid w:val="1D6132A5"/>
    <w:rsid w:val="1D822594"/>
    <w:rsid w:val="1D871D2E"/>
    <w:rsid w:val="1D8C461D"/>
    <w:rsid w:val="1D8E56D5"/>
    <w:rsid w:val="1D8F0979"/>
    <w:rsid w:val="1DC7082F"/>
    <w:rsid w:val="1DF43BD5"/>
    <w:rsid w:val="1E2C13E6"/>
    <w:rsid w:val="1E340689"/>
    <w:rsid w:val="1E49588A"/>
    <w:rsid w:val="1E5A63DC"/>
    <w:rsid w:val="1E7A43DA"/>
    <w:rsid w:val="1ECC5B48"/>
    <w:rsid w:val="1ED24AB3"/>
    <w:rsid w:val="1EF02975"/>
    <w:rsid w:val="1F0844ED"/>
    <w:rsid w:val="1F4443B2"/>
    <w:rsid w:val="1F7D1EE6"/>
    <w:rsid w:val="1FA63B31"/>
    <w:rsid w:val="1FE7539E"/>
    <w:rsid w:val="203936FA"/>
    <w:rsid w:val="20431449"/>
    <w:rsid w:val="20671BE0"/>
    <w:rsid w:val="207B4C6C"/>
    <w:rsid w:val="20864E0B"/>
    <w:rsid w:val="20963CB8"/>
    <w:rsid w:val="20A744C5"/>
    <w:rsid w:val="20A81A1B"/>
    <w:rsid w:val="20B07FB6"/>
    <w:rsid w:val="20B646FB"/>
    <w:rsid w:val="20C4276B"/>
    <w:rsid w:val="20E00670"/>
    <w:rsid w:val="213B74B1"/>
    <w:rsid w:val="2151001D"/>
    <w:rsid w:val="215A2310"/>
    <w:rsid w:val="21630A1E"/>
    <w:rsid w:val="21B653B5"/>
    <w:rsid w:val="21CE3698"/>
    <w:rsid w:val="21DE318A"/>
    <w:rsid w:val="21E2519E"/>
    <w:rsid w:val="21EF5B80"/>
    <w:rsid w:val="21FE4B23"/>
    <w:rsid w:val="22217789"/>
    <w:rsid w:val="223D1532"/>
    <w:rsid w:val="22537179"/>
    <w:rsid w:val="22576990"/>
    <w:rsid w:val="22620B99"/>
    <w:rsid w:val="229972EB"/>
    <w:rsid w:val="22A66B81"/>
    <w:rsid w:val="22F47480"/>
    <w:rsid w:val="235F450F"/>
    <w:rsid w:val="23683EFA"/>
    <w:rsid w:val="23785725"/>
    <w:rsid w:val="23BA79D0"/>
    <w:rsid w:val="23DE1C48"/>
    <w:rsid w:val="23FA3DEB"/>
    <w:rsid w:val="23FD1F37"/>
    <w:rsid w:val="240210CD"/>
    <w:rsid w:val="242A09AF"/>
    <w:rsid w:val="243508DF"/>
    <w:rsid w:val="243A681C"/>
    <w:rsid w:val="24500923"/>
    <w:rsid w:val="24585EDF"/>
    <w:rsid w:val="246360A2"/>
    <w:rsid w:val="249101A6"/>
    <w:rsid w:val="24B51FCB"/>
    <w:rsid w:val="24BF09F7"/>
    <w:rsid w:val="25014703"/>
    <w:rsid w:val="252D53FE"/>
    <w:rsid w:val="25353D2F"/>
    <w:rsid w:val="257B6516"/>
    <w:rsid w:val="25C218DC"/>
    <w:rsid w:val="25C4399B"/>
    <w:rsid w:val="25C5028D"/>
    <w:rsid w:val="25DA3182"/>
    <w:rsid w:val="25E5514E"/>
    <w:rsid w:val="25E67F48"/>
    <w:rsid w:val="25EC2D81"/>
    <w:rsid w:val="25F866D1"/>
    <w:rsid w:val="25F976A7"/>
    <w:rsid w:val="25FA4A5F"/>
    <w:rsid w:val="265D1549"/>
    <w:rsid w:val="266D7D5B"/>
    <w:rsid w:val="267E28DB"/>
    <w:rsid w:val="26955D35"/>
    <w:rsid w:val="26C82584"/>
    <w:rsid w:val="26CB3E5F"/>
    <w:rsid w:val="26CE741C"/>
    <w:rsid w:val="275142B7"/>
    <w:rsid w:val="277057A2"/>
    <w:rsid w:val="27E33207"/>
    <w:rsid w:val="28072F0C"/>
    <w:rsid w:val="28130EFA"/>
    <w:rsid w:val="28540B36"/>
    <w:rsid w:val="28684D98"/>
    <w:rsid w:val="29206EB8"/>
    <w:rsid w:val="293D0F52"/>
    <w:rsid w:val="29595666"/>
    <w:rsid w:val="29874881"/>
    <w:rsid w:val="298924A9"/>
    <w:rsid w:val="299E6D8C"/>
    <w:rsid w:val="29DC72A3"/>
    <w:rsid w:val="29E325E0"/>
    <w:rsid w:val="29E94C1E"/>
    <w:rsid w:val="2A1360C6"/>
    <w:rsid w:val="2A16686A"/>
    <w:rsid w:val="2A175EBF"/>
    <w:rsid w:val="2A452503"/>
    <w:rsid w:val="2A521B11"/>
    <w:rsid w:val="2A85680A"/>
    <w:rsid w:val="2A9C3ADF"/>
    <w:rsid w:val="2AB4501D"/>
    <w:rsid w:val="2ABF6D62"/>
    <w:rsid w:val="2AEE3107"/>
    <w:rsid w:val="2AF51608"/>
    <w:rsid w:val="2B0320F9"/>
    <w:rsid w:val="2B465DBF"/>
    <w:rsid w:val="2B4A5F6D"/>
    <w:rsid w:val="2B5409F0"/>
    <w:rsid w:val="2B6163EE"/>
    <w:rsid w:val="2B7B7489"/>
    <w:rsid w:val="2B8C25FF"/>
    <w:rsid w:val="2BA936A8"/>
    <w:rsid w:val="2BBA491B"/>
    <w:rsid w:val="2BCD7344"/>
    <w:rsid w:val="2BD33884"/>
    <w:rsid w:val="2C0E681E"/>
    <w:rsid w:val="2C2E33FE"/>
    <w:rsid w:val="2C315A5A"/>
    <w:rsid w:val="2C42045B"/>
    <w:rsid w:val="2C4B1C25"/>
    <w:rsid w:val="2C4F6588"/>
    <w:rsid w:val="2C5D7BC0"/>
    <w:rsid w:val="2CB9732B"/>
    <w:rsid w:val="2D3F3E15"/>
    <w:rsid w:val="2D5372E9"/>
    <w:rsid w:val="2D5B60AE"/>
    <w:rsid w:val="2D964D60"/>
    <w:rsid w:val="2D9B6B0E"/>
    <w:rsid w:val="2D9E56F5"/>
    <w:rsid w:val="2E05270F"/>
    <w:rsid w:val="2E07165B"/>
    <w:rsid w:val="2E120A28"/>
    <w:rsid w:val="2E4C262D"/>
    <w:rsid w:val="2E51371E"/>
    <w:rsid w:val="2E667F96"/>
    <w:rsid w:val="2E8226AB"/>
    <w:rsid w:val="2F5B158F"/>
    <w:rsid w:val="2F841E28"/>
    <w:rsid w:val="2FC4498F"/>
    <w:rsid w:val="2FD065E6"/>
    <w:rsid w:val="2FD96870"/>
    <w:rsid w:val="30082A1C"/>
    <w:rsid w:val="301E10B7"/>
    <w:rsid w:val="30384577"/>
    <w:rsid w:val="303A0C09"/>
    <w:rsid w:val="305539E9"/>
    <w:rsid w:val="30580BC9"/>
    <w:rsid w:val="308A2DD8"/>
    <w:rsid w:val="31045D62"/>
    <w:rsid w:val="311E2ED7"/>
    <w:rsid w:val="31491F46"/>
    <w:rsid w:val="315619EE"/>
    <w:rsid w:val="315C3863"/>
    <w:rsid w:val="315C449C"/>
    <w:rsid w:val="31664639"/>
    <w:rsid w:val="31AB31B8"/>
    <w:rsid w:val="31B82709"/>
    <w:rsid w:val="31D03865"/>
    <w:rsid w:val="31D05482"/>
    <w:rsid w:val="31F427A0"/>
    <w:rsid w:val="320819D7"/>
    <w:rsid w:val="321F4067"/>
    <w:rsid w:val="32201C61"/>
    <w:rsid w:val="32277185"/>
    <w:rsid w:val="32373A04"/>
    <w:rsid w:val="32400B34"/>
    <w:rsid w:val="326D55DE"/>
    <w:rsid w:val="32903C36"/>
    <w:rsid w:val="329262E2"/>
    <w:rsid w:val="329E6876"/>
    <w:rsid w:val="33103826"/>
    <w:rsid w:val="333015F2"/>
    <w:rsid w:val="333F4FF3"/>
    <w:rsid w:val="334B6320"/>
    <w:rsid w:val="33954C73"/>
    <w:rsid w:val="33AE31E3"/>
    <w:rsid w:val="33D934D4"/>
    <w:rsid w:val="33EB379D"/>
    <w:rsid w:val="33FE03D7"/>
    <w:rsid w:val="33FE2F6A"/>
    <w:rsid w:val="340D5119"/>
    <w:rsid w:val="340E07E5"/>
    <w:rsid w:val="34235BF7"/>
    <w:rsid w:val="34311C0E"/>
    <w:rsid w:val="34854D72"/>
    <w:rsid w:val="34A65E6C"/>
    <w:rsid w:val="34AA19D5"/>
    <w:rsid w:val="34CA0B14"/>
    <w:rsid w:val="34E642E4"/>
    <w:rsid w:val="3508784C"/>
    <w:rsid w:val="3518029B"/>
    <w:rsid w:val="35236F98"/>
    <w:rsid w:val="35396D0C"/>
    <w:rsid w:val="356B5A2B"/>
    <w:rsid w:val="358C5FA8"/>
    <w:rsid w:val="35B91923"/>
    <w:rsid w:val="35C0684E"/>
    <w:rsid w:val="35C15DF1"/>
    <w:rsid w:val="35F6773C"/>
    <w:rsid w:val="36074A7F"/>
    <w:rsid w:val="36923549"/>
    <w:rsid w:val="36B75FBF"/>
    <w:rsid w:val="36BD0C45"/>
    <w:rsid w:val="375F3C64"/>
    <w:rsid w:val="37AD3910"/>
    <w:rsid w:val="37E00298"/>
    <w:rsid w:val="38226065"/>
    <w:rsid w:val="389E6D44"/>
    <w:rsid w:val="38B302F9"/>
    <w:rsid w:val="38F12CD3"/>
    <w:rsid w:val="38F24280"/>
    <w:rsid w:val="38F94775"/>
    <w:rsid w:val="392971ED"/>
    <w:rsid w:val="39325651"/>
    <w:rsid w:val="393F6A4C"/>
    <w:rsid w:val="39945324"/>
    <w:rsid w:val="39B05882"/>
    <w:rsid w:val="39E958F2"/>
    <w:rsid w:val="39EB6C17"/>
    <w:rsid w:val="39F7575A"/>
    <w:rsid w:val="3A70112C"/>
    <w:rsid w:val="3A715BE6"/>
    <w:rsid w:val="3A82368B"/>
    <w:rsid w:val="3A872856"/>
    <w:rsid w:val="3AA134BC"/>
    <w:rsid w:val="3ABA6E6F"/>
    <w:rsid w:val="3AC7651B"/>
    <w:rsid w:val="3ADA57AC"/>
    <w:rsid w:val="3AF917BE"/>
    <w:rsid w:val="3B37244D"/>
    <w:rsid w:val="3B3763D1"/>
    <w:rsid w:val="3B7908EA"/>
    <w:rsid w:val="3B7A0443"/>
    <w:rsid w:val="3BA7682B"/>
    <w:rsid w:val="3BB22D00"/>
    <w:rsid w:val="3BD01333"/>
    <w:rsid w:val="3BD05689"/>
    <w:rsid w:val="3C2F6E1E"/>
    <w:rsid w:val="3C4F64BA"/>
    <w:rsid w:val="3C976B3F"/>
    <w:rsid w:val="3CB648C4"/>
    <w:rsid w:val="3CC71CF3"/>
    <w:rsid w:val="3CDA245A"/>
    <w:rsid w:val="3D1E06B7"/>
    <w:rsid w:val="3D1F0905"/>
    <w:rsid w:val="3D4655C3"/>
    <w:rsid w:val="3D87783A"/>
    <w:rsid w:val="3DB63E41"/>
    <w:rsid w:val="3DE47E5B"/>
    <w:rsid w:val="3E0D25BE"/>
    <w:rsid w:val="3E6650CD"/>
    <w:rsid w:val="3EA72AE8"/>
    <w:rsid w:val="3EB65825"/>
    <w:rsid w:val="3EDA0523"/>
    <w:rsid w:val="3EF9599F"/>
    <w:rsid w:val="3F255F63"/>
    <w:rsid w:val="3F304BA2"/>
    <w:rsid w:val="3F4855CD"/>
    <w:rsid w:val="3F5166A7"/>
    <w:rsid w:val="3F564254"/>
    <w:rsid w:val="3F7F50DD"/>
    <w:rsid w:val="3F896226"/>
    <w:rsid w:val="3F913EC5"/>
    <w:rsid w:val="3FA310C4"/>
    <w:rsid w:val="3FD86B98"/>
    <w:rsid w:val="3FF041B7"/>
    <w:rsid w:val="40066D1F"/>
    <w:rsid w:val="40741B85"/>
    <w:rsid w:val="407A6407"/>
    <w:rsid w:val="407F2E19"/>
    <w:rsid w:val="40E64DF9"/>
    <w:rsid w:val="41157A56"/>
    <w:rsid w:val="411A4AC6"/>
    <w:rsid w:val="414211A5"/>
    <w:rsid w:val="418506B8"/>
    <w:rsid w:val="41D546E9"/>
    <w:rsid w:val="4200449D"/>
    <w:rsid w:val="423A3BCC"/>
    <w:rsid w:val="424236F4"/>
    <w:rsid w:val="424E57D2"/>
    <w:rsid w:val="42572CB5"/>
    <w:rsid w:val="42954D3B"/>
    <w:rsid w:val="42B26C49"/>
    <w:rsid w:val="42B655FF"/>
    <w:rsid w:val="42C2380C"/>
    <w:rsid w:val="42C24B15"/>
    <w:rsid w:val="42C718FF"/>
    <w:rsid w:val="431B66EB"/>
    <w:rsid w:val="433A6FE6"/>
    <w:rsid w:val="43480868"/>
    <w:rsid w:val="4350713C"/>
    <w:rsid w:val="436653E0"/>
    <w:rsid w:val="436B4F55"/>
    <w:rsid w:val="43702A96"/>
    <w:rsid w:val="439B7CA4"/>
    <w:rsid w:val="43C4431A"/>
    <w:rsid w:val="43F226EB"/>
    <w:rsid w:val="4404080F"/>
    <w:rsid w:val="441516CC"/>
    <w:rsid w:val="44217902"/>
    <w:rsid w:val="4427192E"/>
    <w:rsid w:val="44562E01"/>
    <w:rsid w:val="446903D6"/>
    <w:rsid w:val="447D42ED"/>
    <w:rsid w:val="44B50B13"/>
    <w:rsid w:val="44B951CC"/>
    <w:rsid w:val="44CD14E0"/>
    <w:rsid w:val="44F20B0B"/>
    <w:rsid w:val="450F185A"/>
    <w:rsid w:val="452013C5"/>
    <w:rsid w:val="4529706E"/>
    <w:rsid w:val="45297855"/>
    <w:rsid w:val="452E5F4C"/>
    <w:rsid w:val="453C0CE7"/>
    <w:rsid w:val="45612018"/>
    <w:rsid w:val="458946E9"/>
    <w:rsid w:val="45A47C0E"/>
    <w:rsid w:val="45CD51CE"/>
    <w:rsid w:val="45D12B05"/>
    <w:rsid w:val="461364B4"/>
    <w:rsid w:val="46577FD6"/>
    <w:rsid w:val="46966F6C"/>
    <w:rsid w:val="46C02996"/>
    <w:rsid w:val="46D955A7"/>
    <w:rsid w:val="47095454"/>
    <w:rsid w:val="47133957"/>
    <w:rsid w:val="47274F9C"/>
    <w:rsid w:val="474230B2"/>
    <w:rsid w:val="474748A5"/>
    <w:rsid w:val="47487BEA"/>
    <w:rsid w:val="474B1A26"/>
    <w:rsid w:val="47611CE5"/>
    <w:rsid w:val="47616EFE"/>
    <w:rsid w:val="47A07E0C"/>
    <w:rsid w:val="47BF067F"/>
    <w:rsid w:val="480B33BC"/>
    <w:rsid w:val="48334420"/>
    <w:rsid w:val="4870272E"/>
    <w:rsid w:val="4877577E"/>
    <w:rsid w:val="48C27B4E"/>
    <w:rsid w:val="490C6B7F"/>
    <w:rsid w:val="4928192F"/>
    <w:rsid w:val="492D3556"/>
    <w:rsid w:val="495B540A"/>
    <w:rsid w:val="49A260A5"/>
    <w:rsid w:val="49A73790"/>
    <w:rsid w:val="49AF2A38"/>
    <w:rsid w:val="49DC7715"/>
    <w:rsid w:val="49F14B41"/>
    <w:rsid w:val="4A023139"/>
    <w:rsid w:val="4A1A1B1F"/>
    <w:rsid w:val="4A7B576F"/>
    <w:rsid w:val="4A9926A3"/>
    <w:rsid w:val="4A9C33B3"/>
    <w:rsid w:val="4ABD5996"/>
    <w:rsid w:val="4ACA68D0"/>
    <w:rsid w:val="4ADB576C"/>
    <w:rsid w:val="4AF561A9"/>
    <w:rsid w:val="4B410B3E"/>
    <w:rsid w:val="4B6B6DDC"/>
    <w:rsid w:val="4B7E5F4D"/>
    <w:rsid w:val="4B8962C1"/>
    <w:rsid w:val="4B95421D"/>
    <w:rsid w:val="4B976271"/>
    <w:rsid w:val="4B9E4B6B"/>
    <w:rsid w:val="4BA45A83"/>
    <w:rsid w:val="4BA47516"/>
    <w:rsid w:val="4BA641D0"/>
    <w:rsid w:val="4BC67AC5"/>
    <w:rsid w:val="4BC92923"/>
    <w:rsid w:val="4C166F33"/>
    <w:rsid w:val="4C4A0649"/>
    <w:rsid w:val="4C5E0E5B"/>
    <w:rsid w:val="4C625B87"/>
    <w:rsid w:val="4C7E5ECA"/>
    <w:rsid w:val="4C876AA5"/>
    <w:rsid w:val="4D0430A4"/>
    <w:rsid w:val="4D0A4024"/>
    <w:rsid w:val="4D0E00FB"/>
    <w:rsid w:val="4D176606"/>
    <w:rsid w:val="4D4365FE"/>
    <w:rsid w:val="4DCD0A6E"/>
    <w:rsid w:val="4DEC4FB0"/>
    <w:rsid w:val="4DEF101A"/>
    <w:rsid w:val="4E075D8A"/>
    <w:rsid w:val="4E1121D8"/>
    <w:rsid w:val="4E244CA2"/>
    <w:rsid w:val="4E4C00C0"/>
    <w:rsid w:val="4E561ACB"/>
    <w:rsid w:val="4E817E28"/>
    <w:rsid w:val="4E903402"/>
    <w:rsid w:val="4EC00FAD"/>
    <w:rsid w:val="4EC878DB"/>
    <w:rsid w:val="4ED97085"/>
    <w:rsid w:val="4F124EEE"/>
    <w:rsid w:val="4F232A45"/>
    <w:rsid w:val="4F232B85"/>
    <w:rsid w:val="4F3E2CB1"/>
    <w:rsid w:val="4F8F3D7E"/>
    <w:rsid w:val="4F910714"/>
    <w:rsid w:val="4F9843DC"/>
    <w:rsid w:val="4FB716BA"/>
    <w:rsid w:val="4FC62A8C"/>
    <w:rsid w:val="4FCB67EA"/>
    <w:rsid w:val="4FE20F0D"/>
    <w:rsid w:val="4FE51552"/>
    <w:rsid w:val="501E5694"/>
    <w:rsid w:val="50485798"/>
    <w:rsid w:val="50504C4B"/>
    <w:rsid w:val="50573227"/>
    <w:rsid w:val="50732DCE"/>
    <w:rsid w:val="50732E68"/>
    <w:rsid w:val="5078063E"/>
    <w:rsid w:val="507E1C38"/>
    <w:rsid w:val="509C6E7C"/>
    <w:rsid w:val="50A624E8"/>
    <w:rsid w:val="50B67D2B"/>
    <w:rsid w:val="50C3433E"/>
    <w:rsid w:val="50E11ED6"/>
    <w:rsid w:val="50F11BE4"/>
    <w:rsid w:val="512417F5"/>
    <w:rsid w:val="51480A14"/>
    <w:rsid w:val="5162104E"/>
    <w:rsid w:val="516C31A7"/>
    <w:rsid w:val="517642EF"/>
    <w:rsid w:val="519B3C4D"/>
    <w:rsid w:val="51BE7DA6"/>
    <w:rsid w:val="51E64440"/>
    <w:rsid w:val="523E2279"/>
    <w:rsid w:val="526C67A8"/>
    <w:rsid w:val="52854557"/>
    <w:rsid w:val="52963C92"/>
    <w:rsid w:val="52DA41EC"/>
    <w:rsid w:val="531A586A"/>
    <w:rsid w:val="531B228D"/>
    <w:rsid w:val="53702648"/>
    <w:rsid w:val="537D4275"/>
    <w:rsid w:val="53A039CC"/>
    <w:rsid w:val="53A1505A"/>
    <w:rsid w:val="53A22660"/>
    <w:rsid w:val="53DD1FE5"/>
    <w:rsid w:val="53FB691A"/>
    <w:rsid w:val="54063E08"/>
    <w:rsid w:val="542D54B9"/>
    <w:rsid w:val="543437E8"/>
    <w:rsid w:val="548F5F1C"/>
    <w:rsid w:val="54B65E06"/>
    <w:rsid w:val="54E516BA"/>
    <w:rsid w:val="54E714E5"/>
    <w:rsid w:val="54EC2385"/>
    <w:rsid w:val="54F73313"/>
    <w:rsid w:val="54F80955"/>
    <w:rsid w:val="55102C57"/>
    <w:rsid w:val="555170A7"/>
    <w:rsid w:val="5587536D"/>
    <w:rsid w:val="559B174B"/>
    <w:rsid w:val="55B649C5"/>
    <w:rsid w:val="55CE0CF4"/>
    <w:rsid w:val="561F12FE"/>
    <w:rsid w:val="563B6ADC"/>
    <w:rsid w:val="56B22A9C"/>
    <w:rsid w:val="56D83A01"/>
    <w:rsid w:val="57187D26"/>
    <w:rsid w:val="572047E9"/>
    <w:rsid w:val="572C1E68"/>
    <w:rsid w:val="573D17BB"/>
    <w:rsid w:val="57B72A76"/>
    <w:rsid w:val="57C3426C"/>
    <w:rsid w:val="57C63810"/>
    <w:rsid w:val="57CE1F93"/>
    <w:rsid w:val="57E042BB"/>
    <w:rsid w:val="57E62C7A"/>
    <w:rsid w:val="57FF1A49"/>
    <w:rsid w:val="586E7127"/>
    <w:rsid w:val="588743D1"/>
    <w:rsid w:val="5887701A"/>
    <w:rsid w:val="589E02D5"/>
    <w:rsid w:val="58B92541"/>
    <w:rsid w:val="58BC69CF"/>
    <w:rsid w:val="59216481"/>
    <w:rsid w:val="59424293"/>
    <w:rsid w:val="595F72A0"/>
    <w:rsid w:val="5978473E"/>
    <w:rsid w:val="5997731E"/>
    <w:rsid w:val="599D3959"/>
    <w:rsid w:val="59C0439F"/>
    <w:rsid w:val="59E56F45"/>
    <w:rsid w:val="59F048C6"/>
    <w:rsid w:val="5A0C1EE5"/>
    <w:rsid w:val="5A524B01"/>
    <w:rsid w:val="5A9009D2"/>
    <w:rsid w:val="5ABE2233"/>
    <w:rsid w:val="5AF34ED0"/>
    <w:rsid w:val="5B10603A"/>
    <w:rsid w:val="5B6625CF"/>
    <w:rsid w:val="5BDA19DD"/>
    <w:rsid w:val="5BDF5D95"/>
    <w:rsid w:val="5BFE7528"/>
    <w:rsid w:val="5C1219E1"/>
    <w:rsid w:val="5C5D14B8"/>
    <w:rsid w:val="5CA5005D"/>
    <w:rsid w:val="5CAE48E0"/>
    <w:rsid w:val="5CBE70CD"/>
    <w:rsid w:val="5CCC577F"/>
    <w:rsid w:val="5CCE1164"/>
    <w:rsid w:val="5D1851DD"/>
    <w:rsid w:val="5D191420"/>
    <w:rsid w:val="5D2D35B3"/>
    <w:rsid w:val="5D4352DC"/>
    <w:rsid w:val="5D4F2581"/>
    <w:rsid w:val="5D611346"/>
    <w:rsid w:val="5D9F1DED"/>
    <w:rsid w:val="5DD10D6F"/>
    <w:rsid w:val="5E2467F1"/>
    <w:rsid w:val="5E575246"/>
    <w:rsid w:val="5E5D4FB5"/>
    <w:rsid w:val="5E656409"/>
    <w:rsid w:val="5E8A076B"/>
    <w:rsid w:val="5E951265"/>
    <w:rsid w:val="5EDD4A1E"/>
    <w:rsid w:val="5F1A2B43"/>
    <w:rsid w:val="5F491C12"/>
    <w:rsid w:val="5F4F4B0A"/>
    <w:rsid w:val="5F6661AD"/>
    <w:rsid w:val="5F8B538B"/>
    <w:rsid w:val="5FB837BB"/>
    <w:rsid w:val="5FB94E89"/>
    <w:rsid w:val="600744DB"/>
    <w:rsid w:val="60265103"/>
    <w:rsid w:val="60906602"/>
    <w:rsid w:val="60977D4C"/>
    <w:rsid w:val="60A7616F"/>
    <w:rsid w:val="60C40CB7"/>
    <w:rsid w:val="60C81F49"/>
    <w:rsid w:val="60CC405A"/>
    <w:rsid w:val="60E673AF"/>
    <w:rsid w:val="60E80751"/>
    <w:rsid w:val="60EC3887"/>
    <w:rsid w:val="60F23EFB"/>
    <w:rsid w:val="60FD5758"/>
    <w:rsid w:val="61382315"/>
    <w:rsid w:val="61DC6D71"/>
    <w:rsid w:val="61E215D8"/>
    <w:rsid w:val="621B3775"/>
    <w:rsid w:val="62265F1F"/>
    <w:rsid w:val="62341E34"/>
    <w:rsid w:val="62356C42"/>
    <w:rsid w:val="62364782"/>
    <w:rsid w:val="623D13AE"/>
    <w:rsid w:val="62460D5D"/>
    <w:rsid w:val="6258314A"/>
    <w:rsid w:val="627C1941"/>
    <w:rsid w:val="627C7800"/>
    <w:rsid w:val="627E5269"/>
    <w:rsid w:val="628975C5"/>
    <w:rsid w:val="628C1A1D"/>
    <w:rsid w:val="636A6175"/>
    <w:rsid w:val="63736944"/>
    <w:rsid w:val="63867A9D"/>
    <w:rsid w:val="6394356A"/>
    <w:rsid w:val="63C61B2C"/>
    <w:rsid w:val="63D40BE9"/>
    <w:rsid w:val="64102431"/>
    <w:rsid w:val="643904E7"/>
    <w:rsid w:val="643B15B9"/>
    <w:rsid w:val="645B7788"/>
    <w:rsid w:val="649B674B"/>
    <w:rsid w:val="649C0B18"/>
    <w:rsid w:val="64A5243A"/>
    <w:rsid w:val="64C23AE9"/>
    <w:rsid w:val="64E32A70"/>
    <w:rsid w:val="64F531DE"/>
    <w:rsid w:val="65373578"/>
    <w:rsid w:val="657A7B75"/>
    <w:rsid w:val="658B1C05"/>
    <w:rsid w:val="65CD5D44"/>
    <w:rsid w:val="65EE5FD9"/>
    <w:rsid w:val="660D5046"/>
    <w:rsid w:val="66305534"/>
    <w:rsid w:val="6659469E"/>
    <w:rsid w:val="66771136"/>
    <w:rsid w:val="669C484B"/>
    <w:rsid w:val="66C337E7"/>
    <w:rsid w:val="66D25F52"/>
    <w:rsid w:val="66E66951"/>
    <w:rsid w:val="6706708F"/>
    <w:rsid w:val="671F124A"/>
    <w:rsid w:val="672B6AFF"/>
    <w:rsid w:val="673166A4"/>
    <w:rsid w:val="677A33C6"/>
    <w:rsid w:val="67892B7C"/>
    <w:rsid w:val="67A148B0"/>
    <w:rsid w:val="67E31E0A"/>
    <w:rsid w:val="681F6961"/>
    <w:rsid w:val="68374809"/>
    <w:rsid w:val="68610A2F"/>
    <w:rsid w:val="68805514"/>
    <w:rsid w:val="688954CE"/>
    <w:rsid w:val="68A1354D"/>
    <w:rsid w:val="68C75A79"/>
    <w:rsid w:val="68CC30F8"/>
    <w:rsid w:val="69042CA1"/>
    <w:rsid w:val="690901CC"/>
    <w:rsid w:val="690F0496"/>
    <w:rsid w:val="69111DF5"/>
    <w:rsid w:val="69221D4C"/>
    <w:rsid w:val="69316E2F"/>
    <w:rsid w:val="693376BF"/>
    <w:rsid w:val="694E2071"/>
    <w:rsid w:val="69766163"/>
    <w:rsid w:val="697A3B33"/>
    <w:rsid w:val="699C1A51"/>
    <w:rsid w:val="699F4175"/>
    <w:rsid w:val="69A97E3B"/>
    <w:rsid w:val="69B74052"/>
    <w:rsid w:val="69D44760"/>
    <w:rsid w:val="6A255409"/>
    <w:rsid w:val="6A267FC8"/>
    <w:rsid w:val="6A2B2B65"/>
    <w:rsid w:val="6A323A90"/>
    <w:rsid w:val="6A4429D4"/>
    <w:rsid w:val="6A520EC7"/>
    <w:rsid w:val="6A980C99"/>
    <w:rsid w:val="6AF87E20"/>
    <w:rsid w:val="6B2B62BB"/>
    <w:rsid w:val="6B322639"/>
    <w:rsid w:val="6B5F0A69"/>
    <w:rsid w:val="6BA012FB"/>
    <w:rsid w:val="6BB90F67"/>
    <w:rsid w:val="6BC175D1"/>
    <w:rsid w:val="6BC21E6E"/>
    <w:rsid w:val="6BCD1DFF"/>
    <w:rsid w:val="6BD953F8"/>
    <w:rsid w:val="6BED64C6"/>
    <w:rsid w:val="6BF210FF"/>
    <w:rsid w:val="6C354BE3"/>
    <w:rsid w:val="6C636C38"/>
    <w:rsid w:val="6C7A7704"/>
    <w:rsid w:val="6C823765"/>
    <w:rsid w:val="6D2C5D14"/>
    <w:rsid w:val="6D351168"/>
    <w:rsid w:val="6DB34098"/>
    <w:rsid w:val="6DB545B6"/>
    <w:rsid w:val="6DE02FB4"/>
    <w:rsid w:val="6E491D5D"/>
    <w:rsid w:val="6E4F0DF9"/>
    <w:rsid w:val="6E514CED"/>
    <w:rsid w:val="6EB563D5"/>
    <w:rsid w:val="6ED92677"/>
    <w:rsid w:val="6EF2128E"/>
    <w:rsid w:val="6F225983"/>
    <w:rsid w:val="6F513A2D"/>
    <w:rsid w:val="6F761072"/>
    <w:rsid w:val="6F9A2A97"/>
    <w:rsid w:val="6FA31C46"/>
    <w:rsid w:val="6FCF2EC3"/>
    <w:rsid w:val="6FFC5590"/>
    <w:rsid w:val="70095545"/>
    <w:rsid w:val="706D1DD0"/>
    <w:rsid w:val="70856B87"/>
    <w:rsid w:val="70CC19C5"/>
    <w:rsid w:val="70D527EE"/>
    <w:rsid w:val="715B5300"/>
    <w:rsid w:val="71642E02"/>
    <w:rsid w:val="716615CA"/>
    <w:rsid w:val="716C5E59"/>
    <w:rsid w:val="71A90121"/>
    <w:rsid w:val="71A92603"/>
    <w:rsid w:val="71C72A98"/>
    <w:rsid w:val="71D27F8A"/>
    <w:rsid w:val="721F514C"/>
    <w:rsid w:val="72553024"/>
    <w:rsid w:val="725C36D7"/>
    <w:rsid w:val="725F0326"/>
    <w:rsid w:val="726608A1"/>
    <w:rsid w:val="727B779A"/>
    <w:rsid w:val="72AA7672"/>
    <w:rsid w:val="72B629AE"/>
    <w:rsid w:val="72BB5E2B"/>
    <w:rsid w:val="72DB36EB"/>
    <w:rsid w:val="72E4384F"/>
    <w:rsid w:val="73122968"/>
    <w:rsid w:val="7319373A"/>
    <w:rsid w:val="731F5D5E"/>
    <w:rsid w:val="73454CF0"/>
    <w:rsid w:val="73610D05"/>
    <w:rsid w:val="73761542"/>
    <w:rsid w:val="737949FD"/>
    <w:rsid w:val="738241DD"/>
    <w:rsid w:val="73B62A61"/>
    <w:rsid w:val="73C51AD5"/>
    <w:rsid w:val="73E03A38"/>
    <w:rsid w:val="741E793C"/>
    <w:rsid w:val="745E3944"/>
    <w:rsid w:val="74A0673B"/>
    <w:rsid w:val="74A1161E"/>
    <w:rsid w:val="74D96EAB"/>
    <w:rsid w:val="750B1D5B"/>
    <w:rsid w:val="75593167"/>
    <w:rsid w:val="757235DC"/>
    <w:rsid w:val="75A82C1C"/>
    <w:rsid w:val="75AE16EA"/>
    <w:rsid w:val="75D749B5"/>
    <w:rsid w:val="75E11409"/>
    <w:rsid w:val="75E4007E"/>
    <w:rsid w:val="7635099D"/>
    <w:rsid w:val="764D5D05"/>
    <w:rsid w:val="76C54FA2"/>
    <w:rsid w:val="775C65B3"/>
    <w:rsid w:val="77762421"/>
    <w:rsid w:val="77847A66"/>
    <w:rsid w:val="779827CA"/>
    <w:rsid w:val="77B15DCD"/>
    <w:rsid w:val="77B56B1F"/>
    <w:rsid w:val="77C10F8E"/>
    <w:rsid w:val="77E96907"/>
    <w:rsid w:val="780F09F4"/>
    <w:rsid w:val="783422F1"/>
    <w:rsid w:val="78787A55"/>
    <w:rsid w:val="787D4AFC"/>
    <w:rsid w:val="7892546A"/>
    <w:rsid w:val="78A90480"/>
    <w:rsid w:val="7920055F"/>
    <w:rsid w:val="79314295"/>
    <w:rsid w:val="79461626"/>
    <w:rsid w:val="79933905"/>
    <w:rsid w:val="79954DB6"/>
    <w:rsid w:val="79B759E3"/>
    <w:rsid w:val="79B83386"/>
    <w:rsid w:val="79CA6F82"/>
    <w:rsid w:val="7A1454F7"/>
    <w:rsid w:val="7A206127"/>
    <w:rsid w:val="7A2D4631"/>
    <w:rsid w:val="7A364017"/>
    <w:rsid w:val="7A3C5A1C"/>
    <w:rsid w:val="7A4E0EA9"/>
    <w:rsid w:val="7A5F5C3D"/>
    <w:rsid w:val="7A61422D"/>
    <w:rsid w:val="7A8265E1"/>
    <w:rsid w:val="7A9602C7"/>
    <w:rsid w:val="7AFC79CC"/>
    <w:rsid w:val="7B3A6808"/>
    <w:rsid w:val="7B445598"/>
    <w:rsid w:val="7B532940"/>
    <w:rsid w:val="7B686D42"/>
    <w:rsid w:val="7B841746"/>
    <w:rsid w:val="7BC63FE1"/>
    <w:rsid w:val="7BE443C3"/>
    <w:rsid w:val="7BE56CDB"/>
    <w:rsid w:val="7C5D60D5"/>
    <w:rsid w:val="7C5D64AA"/>
    <w:rsid w:val="7C6B66BE"/>
    <w:rsid w:val="7C6C5AC7"/>
    <w:rsid w:val="7C824F62"/>
    <w:rsid w:val="7C911477"/>
    <w:rsid w:val="7C926ED7"/>
    <w:rsid w:val="7CB176C7"/>
    <w:rsid w:val="7CB54128"/>
    <w:rsid w:val="7CC4280E"/>
    <w:rsid w:val="7CC6544B"/>
    <w:rsid w:val="7CE96622"/>
    <w:rsid w:val="7CF06A24"/>
    <w:rsid w:val="7D0239FF"/>
    <w:rsid w:val="7D276A6F"/>
    <w:rsid w:val="7D575641"/>
    <w:rsid w:val="7D5E40CD"/>
    <w:rsid w:val="7D87202C"/>
    <w:rsid w:val="7D9646CB"/>
    <w:rsid w:val="7DBE7C13"/>
    <w:rsid w:val="7DCD56F2"/>
    <w:rsid w:val="7E0733F5"/>
    <w:rsid w:val="7EA41D49"/>
    <w:rsid w:val="7EDF0CF1"/>
    <w:rsid w:val="7F001CE7"/>
    <w:rsid w:val="7F3B4503"/>
    <w:rsid w:val="7F6646B8"/>
    <w:rsid w:val="7FE47E50"/>
    <w:rsid w:val="7FF60AAF"/>
    <w:rsid w:val="7FFB31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joinstyle="miter"/>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character" w:default="1" w:styleId="32">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5">
    <w:name w:val="Normal Indent"/>
    <w:basedOn w:val="1"/>
    <w:qFormat/>
    <w:locked/>
    <w:uiPriority w:val="0"/>
    <w:pPr>
      <w:ind w:firstLine="420"/>
    </w:pPr>
    <w:rPr>
      <w:szCs w:val="21"/>
      <w:u w:val="none" w:color="000000"/>
    </w:rPr>
  </w:style>
  <w:style w:type="paragraph" w:styleId="6">
    <w:name w:val="annotation text"/>
    <w:basedOn w:val="1"/>
    <w:next w:val="7"/>
    <w:link w:val="39"/>
    <w:semiHidden/>
    <w:qFormat/>
    <w:uiPriority w:val="0"/>
    <w:pPr>
      <w:jc w:val="left"/>
    </w:pPr>
    <w:rPr>
      <w:kern w:val="0"/>
      <w:sz w:val="24"/>
      <w:szCs w:val="20"/>
    </w:rPr>
  </w:style>
  <w:style w:type="paragraph" w:styleId="7">
    <w:name w:val="Body Text Indent 3"/>
    <w:basedOn w:val="1"/>
    <w:next w:val="8"/>
    <w:qFormat/>
    <w:locked/>
    <w:uiPriority w:val="0"/>
    <w:pPr>
      <w:spacing w:after="120"/>
      <w:ind w:left="420" w:leftChars="200"/>
    </w:pPr>
    <w:rPr>
      <w:sz w:val="16"/>
      <w:szCs w:val="16"/>
    </w:rPr>
  </w:style>
  <w:style w:type="paragraph" w:styleId="8">
    <w:name w:val="Balloon Text"/>
    <w:basedOn w:val="1"/>
    <w:next w:val="9"/>
    <w:link w:val="43"/>
    <w:semiHidden/>
    <w:qFormat/>
    <w:uiPriority w:val="0"/>
    <w:rPr>
      <w:kern w:val="0"/>
      <w:sz w:val="18"/>
      <w:szCs w:val="20"/>
    </w:rPr>
  </w:style>
  <w:style w:type="paragraph" w:styleId="9">
    <w:name w:val="Block Text"/>
    <w:basedOn w:val="1"/>
    <w:next w:val="1"/>
    <w:qFormat/>
    <w:locked/>
    <w:uiPriority w:val="0"/>
    <w:pPr>
      <w:spacing w:line="240" w:lineRule="auto"/>
      <w:ind w:left="113" w:right="113" w:firstLine="3584"/>
      <w:jc w:val="center"/>
    </w:pPr>
  </w:style>
  <w:style w:type="paragraph" w:styleId="10">
    <w:name w:val="Body Text"/>
    <w:basedOn w:val="1"/>
    <w:next w:val="11"/>
    <w:link w:val="40"/>
    <w:qFormat/>
    <w:uiPriority w:val="0"/>
    <w:pPr>
      <w:widowControl/>
      <w:snapToGrid w:val="0"/>
      <w:spacing w:before="60" w:after="160" w:line="259" w:lineRule="auto"/>
      <w:ind w:right="113"/>
    </w:pPr>
    <w:rPr>
      <w:kern w:val="0"/>
      <w:sz w:val="18"/>
      <w:szCs w:val="20"/>
    </w:rPr>
  </w:style>
  <w:style w:type="paragraph" w:customStyle="1" w:styleId="11">
    <w:name w:val="Normal (Web)1"/>
    <w:basedOn w:val="1"/>
    <w:next w:val="12"/>
    <w:qFormat/>
    <w:uiPriority w:val="0"/>
    <w:pPr>
      <w:widowControl/>
      <w:jc w:val="left"/>
    </w:pPr>
    <w:rPr>
      <w:rFonts w:ascii="宋体" w:cs="Times New Roman"/>
      <w:kern w:val="0"/>
      <w:sz w:val="24"/>
      <w:szCs w:val="21"/>
    </w:rPr>
  </w:style>
  <w:style w:type="paragraph" w:customStyle="1" w:styleId="12">
    <w:name w:val="Date1"/>
    <w:basedOn w:val="1"/>
    <w:next w:val="1"/>
    <w:qFormat/>
    <w:uiPriority w:val="0"/>
    <w:pPr>
      <w:ind w:left="2500" w:leftChars="2500"/>
    </w:pPr>
  </w:style>
  <w:style w:type="paragraph" w:styleId="13">
    <w:name w:val="Body Text Indent"/>
    <w:basedOn w:val="1"/>
    <w:next w:val="14"/>
    <w:link w:val="41"/>
    <w:qFormat/>
    <w:uiPriority w:val="0"/>
    <w:pPr>
      <w:spacing w:after="120"/>
      <w:ind w:left="420" w:leftChars="200"/>
    </w:pPr>
    <w:rPr>
      <w:kern w:val="0"/>
      <w:sz w:val="24"/>
      <w:szCs w:val="20"/>
    </w:rPr>
  </w:style>
  <w:style w:type="paragraph" w:styleId="14">
    <w:name w:val="header"/>
    <w:basedOn w:val="1"/>
    <w:next w:val="15"/>
    <w:link w:val="4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
    <w:qFormat/>
    <w:uiPriority w:val="0"/>
    <w:pPr>
      <w:spacing w:before="0" w:after="0" w:line="380" w:lineRule="exact"/>
      <w:ind w:firstLine="566" w:firstLineChars="202"/>
    </w:pPr>
    <w:rPr>
      <w:rFonts w:eastAsia="华文行楷"/>
    </w:rPr>
  </w:style>
  <w:style w:type="paragraph" w:styleId="16">
    <w:name w:val="Plain Text"/>
    <w:basedOn w:val="1"/>
    <w:qFormat/>
    <w:locked/>
    <w:uiPriority w:val="0"/>
    <w:rPr>
      <w:rFonts w:ascii="宋体" w:hAnsi="Courier New" w:eastAsia="仿宋_GB2312"/>
      <w:sz w:val="28"/>
      <w:szCs w:val="20"/>
    </w:rPr>
  </w:style>
  <w:style w:type="paragraph" w:styleId="17">
    <w:name w:val="List Bullet 5"/>
    <w:basedOn w:val="1"/>
    <w:qFormat/>
    <w:locked/>
    <w:uiPriority w:val="0"/>
    <w:pPr>
      <w:numPr>
        <w:ilvl w:val="0"/>
        <w:numId w:val="1"/>
      </w:numPr>
    </w:pPr>
  </w:style>
  <w:style w:type="paragraph" w:styleId="18">
    <w:name w:val="Date"/>
    <w:basedOn w:val="1"/>
    <w:next w:val="1"/>
    <w:link w:val="42"/>
    <w:qFormat/>
    <w:uiPriority w:val="0"/>
    <w:pPr>
      <w:ind w:left="100" w:leftChars="2500"/>
    </w:pPr>
    <w:rPr>
      <w:kern w:val="0"/>
      <w:sz w:val="24"/>
      <w:szCs w:val="20"/>
    </w:rPr>
  </w:style>
  <w:style w:type="paragraph" w:styleId="19">
    <w:name w:val="Body Text Indent 2"/>
    <w:basedOn w:val="1"/>
    <w:qFormat/>
    <w:locked/>
    <w:uiPriority w:val="0"/>
    <w:pPr>
      <w:spacing w:after="120" w:afterLines="0" w:line="480" w:lineRule="auto"/>
      <w:ind w:left="420" w:leftChars="200"/>
    </w:pPr>
    <w:rPr>
      <w:kern w:val="0"/>
      <w:sz w:val="28"/>
      <w:szCs w:val="20"/>
    </w:rPr>
  </w:style>
  <w:style w:type="paragraph" w:styleId="20">
    <w:name w:val="footer"/>
    <w:basedOn w:val="1"/>
    <w:link w:val="44"/>
    <w:qFormat/>
    <w:uiPriority w:val="99"/>
    <w:pPr>
      <w:tabs>
        <w:tab w:val="center" w:pos="4153"/>
        <w:tab w:val="right" w:pos="8306"/>
      </w:tabs>
      <w:snapToGrid w:val="0"/>
      <w:jc w:val="left"/>
    </w:pPr>
    <w:rPr>
      <w:kern w:val="0"/>
      <w:sz w:val="18"/>
      <w:szCs w:val="20"/>
    </w:rPr>
  </w:style>
  <w:style w:type="paragraph" w:styleId="21">
    <w:name w:val="toc 1"/>
    <w:basedOn w:val="1"/>
    <w:next w:val="1"/>
    <w:qFormat/>
    <w:locked/>
    <w:uiPriority w:val="39"/>
  </w:style>
  <w:style w:type="paragraph" w:styleId="22">
    <w:name w:val="List"/>
    <w:basedOn w:val="1"/>
    <w:qFormat/>
    <w:locked/>
    <w:uiPriority w:val="0"/>
    <w:pPr>
      <w:jc w:val="center"/>
    </w:pPr>
    <w:rPr>
      <w:kern w:val="0"/>
      <w:szCs w:val="20"/>
    </w:rPr>
  </w:style>
  <w:style w:type="paragraph" w:styleId="23">
    <w:name w:val="toc 2"/>
    <w:basedOn w:val="1"/>
    <w:next w:val="1"/>
    <w:qFormat/>
    <w:locked/>
    <w:uiPriority w:val="0"/>
    <w:pPr>
      <w:ind w:left="420" w:leftChars="200"/>
    </w:pPr>
  </w:style>
  <w:style w:type="paragraph" w:styleId="24">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shd w:val="pct20" w:color="auto" w:fill="auto"/>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6"/>
    <w:next w:val="6"/>
    <w:link w:val="47"/>
    <w:semiHidden/>
    <w:qFormat/>
    <w:uiPriority w:val="0"/>
    <w:rPr>
      <w:b/>
      <w:sz w:val="24"/>
      <w:szCs w:val="20"/>
    </w:rPr>
  </w:style>
  <w:style w:type="paragraph" w:styleId="27">
    <w:name w:val="Body Text First Indent"/>
    <w:basedOn w:val="1"/>
    <w:next w:val="28"/>
    <w:qFormat/>
    <w:locked/>
    <w:uiPriority w:val="0"/>
    <w:pPr>
      <w:ind w:firstLine="420" w:firstLineChars="100"/>
    </w:pPr>
  </w:style>
  <w:style w:type="paragraph" w:customStyle="1" w:styleId="28">
    <w:name w:val="样式 正文首行缩进 + 首行缩进:  2 字符1"/>
    <w:basedOn w:val="1"/>
    <w:next w:val="21"/>
    <w:qFormat/>
    <w:uiPriority w:val="0"/>
    <w:pPr>
      <w:spacing w:line="360" w:lineRule="auto"/>
      <w:ind w:firstLine="480" w:firstLineChars="200"/>
    </w:pPr>
    <w:rPr>
      <w:sz w:val="24"/>
    </w:rPr>
  </w:style>
  <w:style w:type="paragraph" w:styleId="29">
    <w:name w:val="Body Text First Indent 2"/>
    <w:basedOn w:val="13"/>
    <w:next w:val="1"/>
    <w:qFormat/>
    <w:locked/>
    <w:uiPriority w:val="0"/>
    <w:pPr>
      <w:ind w:firstLine="420" w:firstLineChars="2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page number"/>
    <w:basedOn w:val="32"/>
    <w:qFormat/>
    <w:locked/>
    <w:uiPriority w:val="0"/>
  </w:style>
  <w:style w:type="character" w:styleId="34">
    <w:name w:val="Hyperlink"/>
    <w:qFormat/>
    <w:locked/>
    <w:uiPriority w:val="99"/>
    <w:rPr>
      <w:color w:val="3366CC"/>
      <w:u w:val="single"/>
    </w:rPr>
  </w:style>
  <w:style w:type="character" w:styleId="35">
    <w:name w:val="annotation reference"/>
    <w:semiHidden/>
    <w:qFormat/>
    <w:uiPriority w:val="0"/>
    <w:rPr>
      <w:sz w:val="21"/>
    </w:rPr>
  </w:style>
  <w:style w:type="paragraph" w:customStyle="1" w:styleId="36">
    <w:name w:val="Default"/>
    <w:basedOn w:val="37"/>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7">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8">
    <w:name w:val="11111"/>
    <w:basedOn w:val="1"/>
    <w:next w:val="1"/>
    <w:qFormat/>
    <w:uiPriority w:val="99"/>
    <w:pPr>
      <w:spacing w:line="360" w:lineRule="auto"/>
      <w:ind w:firstLine="200" w:firstLineChars="200"/>
    </w:pPr>
    <w:rPr>
      <w:rFonts w:ascii="宋体" w:hAnsi="宋体" w:cs="宋体"/>
      <w:sz w:val="24"/>
      <w:szCs w:val="24"/>
    </w:rPr>
  </w:style>
  <w:style w:type="character" w:customStyle="1" w:styleId="39">
    <w:name w:val="批注文字 Char"/>
    <w:link w:val="6"/>
    <w:qFormat/>
    <w:locked/>
    <w:uiPriority w:val="0"/>
    <w:rPr>
      <w:rFonts w:ascii="Times New Roman" w:hAnsi="Times New Roman" w:eastAsia="宋体"/>
      <w:sz w:val="24"/>
    </w:rPr>
  </w:style>
  <w:style w:type="character" w:customStyle="1" w:styleId="40">
    <w:name w:val="正文文本 Char"/>
    <w:link w:val="10"/>
    <w:qFormat/>
    <w:locked/>
    <w:uiPriority w:val="0"/>
    <w:rPr>
      <w:sz w:val="18"/>
    </w:rPr>
  </w:style>
  <w:style w:type="character" w:customStyle="1" w:styleId="41">
    <w:name w:val="正文文本缩进 Char"/>
    <w:link w:val="13"/>
    <w:semiHidden/>
    <w:qFormat/>
    <w:locked/>
    <w:uiPriority w:val="0"/>
    <w:rPr>
      <w:rFonts w:ascii="Times New Roman" w:hAnsi="Times New Roman" w:eastAsia="宋体"/>
      <w:sz w:val="24"/>
    </w:rPr>
  </w:style>
  <w:style w:type="character" w:customStyle="1" w:styleId="42">
    <w:name w:val="日期 Char"/>
    <w:link w:val="18"/>
    <w:qFormat/>
    <w:locked/>
    <w:uiPriority w:val="0"/>
    <w:rPr>
      <w:rFonts w:ascii="Times New Roman" w:hAnsi="Times New Roman" w:eastAsia="宋体"/>
      <w:sz w:val="24"/>
    </w:rPr>
  </w:style>
  <w:style w:type="character" w:customStyle="1" w:styleId="43">
    <w:name w:val="批注框文本 Char"/>
    <w:link w:val="8"/>
    <w:semiHidden/>
    <w:qFormat/>
    <w:locked/>
    <w:uiPriority w:val="0"/>
    <w:rPr>
      <w:rFonts w:ascii="Times New Roman" w:hAnsi="Times New Roman" w:eastAsia="宋体"/>
      <w:sz w:val="18"/>
    </w:rPr>
  </w:style>
  <w:style w:type="character" w:customStyle="1" w:styleId="44">
    <w:name w:val="页脚 Char"/>
    <w:link w:val="20"/>
    <w:qFormat/>
    <w:locked/>
    <w:uiPriority w:val="99"/>
    <w:rPr>
      <w:sz w:val="18"/>
    </w:rPr>
  </w:style>
  <w:style w:type="character" w:customStyle="1" w:styleId="45">
    <w:name w:val="页眉 Char"/>
    <w:link w:val="14"/>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6"/>
    <w:semiHidden/>
    <w:qFormat/>
    <w:locked/>
    <w:uiPriority w:val="0"/>
    <w:rPr>
      <w:rFonts w:ascii="Times New Roman" w:hAnsi="Times New Roman" w:eastAsia="宋体"/>
      <w:b/>
      <w:kern w:val="2"/>
      <w:sz w:val="24"/>
    </w:rPr>
  </w:style>
  <w:style w:type="paragraph" w:customStyle="1" w:styleId="48">
    <w:name w:val="【正文】"/>
    <w:basedOn w:val="1"/>
    <w:qFormat/>
    <w:uiPriority w:val="0"/>
    <w:pPr>
      <w:spacing w:line="440" w:lineRule="exact"/>
      <w:ind w:firstLine="544" w:firstLineChars="200"/>
    </w:pPr>
    <w:rPr>
      <w:rFonts w:ascii="Times New Roman" w:hAnsi="Times New Roman" w:eastAsia="Times New Roman" w:cs="Times New Roman"/>
      <w:sz w:val="24"/>
      <w:szCs w:val="20"/>
    </w:rPr>
  </w:style>
  <w:style w:type="character" w:customStyle="1" w:styleId="49">
    <w:name w:val="zhengwencolor1"/>
    <w:qFormat/>
    <w:uiPriority w:val="0"/>
    <w:rPr>
      <w:color w:val="000000"/>
      <w:sz w:val="18"/>
      <w:szCs w:val="18"/>
    </w:rPr>
  </w:style>
  <w:style w:type="character" w:customStyle="1" w:styleId="50">
    <w:name w:val="日期 字符"/>
    <w:semiHidden/>
    <w:qFormat/>
    <w:uiPriority w:val="0"/>
    <w:rPr>
      <w:rFonts w:ascii="Times New Roman" w:hAnsi="Times New Roman" w:eastAsia="宋体"/>
      <w:sz w:val="24"/>
    </w:rPr>
  </w:style>
  <w:style w:type="character" w:customStyle="1" w:styleId="51">
    <w:name w:val="表中文字 Char"/>
    <w:basedOn w:val="32"/>
    <w:link w:val="52"/>
    <w:qFormat/>
    <w:uiPriority w:val="0"/>
    <w:rPr>
      <w:rFonts w:ascii="Times New Roman" w:hAnsi="Times New Roman" w:cs="Times New Roman"/>
      <w:kern w:val="2"/>
      <w:sz w:val="21"/>
    </w:rPr>
  </w:style>
  <w:style w:type="paragraph" w:customStyle="1" w:styleId="52">
    <w:name w:val="表中文字"/>
    <w:basedOn w:val="1"/>
    <w:link w:val="51"/>
    <w:qFormat/>
    <w:uiPriority w:val="0"/>
    <w:pPr>
      <w:widowControl w:val="0"/>
      <w:spacing w:line="240" w:lineRule="auto"/>
      <w:ind w:firstLine="0" w:firstLineChars="0"/>
      <w:jc w:val="center"/>
    </w:pPr>
    <w:rPr>
      <w:rFonts w:ascii="Times New Roman" w:hAnsi="Times New Roman" w:cs="Times New Roman"/>
      <w:kern w:val="2"/>
      <w:sz w:val="21"/>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正文文本 (2) Exact"/>
    <w:unhideWhenUsed/>
    <w:qFormat/>
    <w:uiPriority w:val="99"/>
    <w:rPr>
      <w:rFonts w:hint="default" w:ascii="宋体" w:hAnsi="宋体" w:eastAsia="宋体"/>
      <w:sz w:val="22"/>
      <w:lang w:val="en-US" w:eastAsia="en-US"/>
    </w:rPr>
  </w:style>
  <w:style w:type="character" w:customStyle="1" w:styleId="55">
    <w:name w:val="页脚 字符"/>
    <w:basedOn w:val="32"/>
    <w:qFormat/>
    <w:uiPriority w:val="99"/>
  </w:style>
  <w:style w:type="character" w:customStyle="1" w:styleId="56">
    <w:name w:val="表格 Char"/>
    <w:link w:val="57"/>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xl27"/>
    <w:basedOn w:val="1"/>
    <w:next w:val="19"/>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正文格式"/>
    <w:basedOn w:val="1"/>
    <w:next w:val="1"/>
    <w:qFormat/>
    <w:uiPriority w:val="0"/>
    <w:pPr>
      <w:spacing w:line="360" w:lineRule="auto"/>
      <w:ind w:firstLine="482"/>
    </w:pPr>
    <w:rPr>
      <w:sz w:val="24"/>
      <w:szCs w:val="24"/>
    </w:rPr>
  </w:style>
  <w:style w:type="paragraph" w:customStyle="1" w:styleId="62">
    <w:name w:val="样式 Times New Roman 五号 居中1"/>
    <w:basedOn w:val="1"/>
    <w:next w:val="63"/>
    <w:qFormat/>
    <w:uiPriority w:val="99"/>
    <w:pPr>
      <w:jc w:val="center"/>
    </w:pPr>
    <w:rPr>
      <w:rFonts w:ascii="Times New Roman" w:hAnsi="Times New Roman" w:cs="宋体"/>
      <w:szCs w:val="21"/>
    </w:rPr>
  </w:style>
  <w:style w:type="paragraph" w:customStyle="1" w:styleId="63">
    <w:name w:val="表头"/>
    <w:basedOn w:val="64"/>
    <w:next w:val="16"/>
    <w:qFormat/>
    <w:uiPriority w:val="0"/>
    <w:pPr>
      <w:numPr>
        <w:ilvl w:val="0"/>
        <w:numId w:val="2"/>
      </w:numPr>
    </w:pPr>
    <w:rPr>
      <w:rFonts w:eastAsia="黑体"/>
    </w:rPr>
  </w:style>
  <w:style w:type="paragraph" w:customStyle="1" w:styleId="64">
    <w:name w:val="样式4"/>
    <w:basedOn w:val="1"/>
    <w:qFormat/>
    <w:uiPriority w:val="0"/>
    <w:pPr>
      <w:adjustRightInd w:val="0"/>
      <w:snapToGrid w:val="0"/>
      <w:jc w:val="center"/>
    </w:pPr>
    <w:rPr>
      <w:sz w:val="24"/>
      <w:szCs w:val="20"/>
    </w:rPr>
  </w:style>
  <w:style w:type="paragraph" w:customStyle="1" w:styleId="65">
    <w:name w:val="正文的"/>
    <w:basedOn w:val="1"/>
    <w:qFormat/>
    <w:uiPriority w:val="0"/>
    <w:pPr>
      <w:spacing w:line="360" w:lineRule="auto"/>
      <w:ind w:firstLine="480" w:firstLineChars="200"/>
    </w:pPr>
    <w:rPr>
      <w:rFonts w:ascii="宋体" w:hAnsi="Times New Roman" w:cs="Calibri"/>
      <w:kern w:val="0"/>
      <w:sz w:val="24"/>
      <w:szCs w:val="20"/>
    </w:rPr>
  </w:style>
  <w:style w:type="paragraph" w:customStyle="1" w:styleId="66">
    <w:name w:val="Char"/>
    <w:basedOn w:val="1"/>
    <w:qFormat/>
    <w:uiPriority w:val="0"/>
    <w:pPr>
      <w:snapToGrid w:val="0"/>
      <w:spacing w:line="440" w:lineRule="atLeast"/>
      <w:ind w:firstLine="200" w:firstLineChars="200"/>
    </w:pPr>
  </w:style>
  <w:style w:type="paragraph" w:customStyle="1" w:styleId="67">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68">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69">
    <w:name w:val="报告书正文"/>
    <w:basedOn w:val="1"/>
    <w:qFormat/>
    <w:uiPriority w:val="0"/>
    <w:pPr>
      <w:adjustRightInd w:val="0"/>
      <w:snapToGrid w:val="0"/>
      <w:spacing w:line="360" w:lineRule="auto"/>
      <w:ind w:firstLine="425"/>
    </w:pPr>
    <w:rPr>
      <w:rFonts w:ascii="Arial" w:hAnsi="Arial" w:eastAsia="宋体" w:cs="Arial"/>
      <w:sz w:val="24"/>
    </w:rPr>
  </w:style>
  <w:style w:type="paragraph" w:customStyle="1" w:styleId="70">
    <w:name w:val="1黑体头"/>
    <w:basedOn w:val="1"/>
    <w:qFormat/>
    <w:uiPriority w:val="0"/>
    <w:pPr>
      <w:spacing w:line="360" w:lineRule="auto"/>
      <w:ind w:firstLine="479" w:firstLineChars="199"/>
      <w:jc w:val="left"/>
      <w:textAlignment w:val="center"/>
    </w:pPr>
    <w:rPr>
      <w:b/>
      <w:sz w:val="24"/>
    </w:rPr>
  </w:style>
  <w:style w:type="paragraph" w:customStyle="1" w:styleId="7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72">
    <w:name w:val="②JM正文 顶格"/>
    <w:basedOn w:val="67"/>
    <w:next w:val="73"/>
    <w:qFormat/>
    <w:uiPriority w:val="0"/>
    <w:pPr>
      <w:jc w:val="left"/>
    </w:pPr>
  </w:style>
  <w:style w:type="paragraph" w:customStyle="1" w:styleId="73">
    <w:name w:val="②JM正文"/>
    <w:basedOn w:val="72"/>
    <w:qFormat/>
    <w:uiPriority w:val="0"/>
    <w:pPr>
      <w:ind w:firstLine="720" w:firstLineChars="200"/>
    </w:pPr>
  </w:style>
  <w:style w:type="paragraph" w:customStyle="1" w:styleId="74">
    <w:name w:val="【表中文字】"/>
    <w:basedOn w:val="1"/>
    <w:qFormat/>
    <w:uiPriority w:val="0"/>
    <w:pPr>
      <w:adjustRightInd w:val="0"/>
      <w:snapToGrid w:val="0"/>
      <w:jc w:val="center"/>
    </w:pPr>
    <w:rPr>
      <w:rFonts w:ascii="Times New Roman" w:hAnsi="Times New Roman"/>
      <w:szCs w:val="20"/>
    </w:rPr>
  </w:style>
  <w:style w:type="paragraph" w:customStyle="1" w:styleId="75">
    <w:name w:val="②JM表格小标题 仿宋"/>
    <w:basedOn w:val="67"/>
    <w:next w:val="73"/>
    <w:qFormat/>
    <w:uiPriority w:val="0"/>
    <w:rPr>
      <w:rFonts w:eastAsia="仿宋"/>
      <w:b/>
    </w:rPr>
  </w:style>
  <w:style w:type="paragraph" w:customStyle="1" w:styleId="76">
    <w:name w:val="内容"/>
    <w:basedOn w:val="1"/>
    <w:qFormat/>
    <w:uiPriority w:val="0"/>
    <w:pPr>
      <w:spacing w:before="50" w:beforeLines="50" w:after="50" w:afterLines="50"/>
      <w:ind w:firstLine="200" w:firstLineChars="200"/>
    </w:pPr>
    <w:rPr>
      <w:color w:val="000000"/>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②JM表格 居中 仿宋"/>
    <w:basedOn w:val="75"/>
    <w:next w:val="73"/>
    <w:qFormat/>
    <w:uiPriority w:val="0"/>
    <w:rPr>
      <w:b w:val="0"/>
    </w:rPr>
  </w:style>
  <w:style w:type="paragraph" w:customStyle="1" w:styleId="80">
    <w:name w:val="【表头】"/>
    <w:basedOn w:val="1"/>
    <w:next w:val="1"/>
    <w:qFormat/>
    <w:uiPriority w:val="0"/>
    <w:pPr>
      <w:adjustRightInd w:val="0"/>
      <w:snapToGrid w:val="0"/>
      <w:jc w:val="center"/>
    </w:pPr>
    <w:rPr>
      <w:rFonts w:ascii="Times New Roman" w:hAnsi="Times New Roman" w:eastAsia="黑体" w:cs="Times New Roman"/>
      <w:sz w:val="24"/>
    </w:rPr>
  </w:style>
  <w:style w:type="paragraph" w:customStyle="1" w:styleId="81">
    <w:name w:val="段落正文"/>
    <w:basedOn w:val="1"/>
    <w:qFormat/>
    <w:uiPriority w:val="0"/>
    <w:pPr>
      <w:spacing w:line="500" w:lineRule="atLeast"/>
      <w:ind w:firstLine="200" w:firstLineChars="200"/>
    </w:pPr>
    <w:rPr>
      <w:rFonts w:eastAsia="仿宋_GB2312"/>
      <w:sz w:val="28"/>
      <w:szCs w:val="28"/>
    </w:rPr>
  </w:style>
  <w:style w:type="paragraph" w:customStyle="1" w:styleId="82">
    <w:name w:val="设计表格"/>
    <w:basedOn w:val="1"/>
    <w:qFormat/>
    <w:uiPriority w:val="0"/>
    <w:pPr>
      <w:adjustRightInd w:val="0"/>
      <w:jc w:val="center"/>
    </w:pPr>
    <w:rPr>
      <w:rFonts w:ascii="Times New Roman" w:hAnsi="Times New Roman" w:eastAsia="宋体" w:cs="Times New Roman"/>
      <w:kern w:val="0"/>
      <w:sz w:val="24"/>
    </w:rPr>
  </w:style>
  <w:style w:type="paragraph" w:customStyle="1" w:styleId="83">
    <w:name w:val="表头1"/>
    <w:basedOn w:val="1"/>
    <w:next w:val="1"/>
    <w:qFormat/>
    <w:uiPriority w:val="0"/>
    <w:pPr>
      <w:tabs>
        <w:tab w:val="left" w:pos="605"/>
      </w:tabs>
      <w:adjustRightInd w:val="0"/>
      <w:snapToGrid w:val="0"/>
      <w:jc w:val="center"/>
    </w:pPr>
    <w:rPr>
      <w:rFonts w:eastAsia="仿宋_GB2312"/>
      <w:b/>
      <w:kern w:val="0"/>
      <w:sz w:val="24"/>
      <w:szCs w:val="28"/>
    </w:rPr>
  </w:style>
  <w:style w:type="paragraph" w:customStyle="1" w:styleId="84">
    <w:name w:val="表内容"/>
    <w:basedOn w:val="1"/>
    <w:next w:val="1"/>
    <w:qFormat/>
    <w:uiPriority w:val="0"/>
    <w:pPr>
      <w:spacing w:line="240" w:lineRule="auto"/>
      <w:ind w:firstLine="0" w:firstLineChars="0"/>
      <w:jc w:val="center"/>
    </w:pPr>
    <w:rPr>
      <w:sz w:val="21"/>
      <w:szCs w:val="20"/>
    </w:rPr>
  </w:style>
  <w:style w:type="paragraph" w:customStyle="1" w:styleId="85">
    <w:name w:val="Table Paragraph"/>
    <w:basedOn w:val="1"/>
    <w:qFormat/>
    <w:uiPriority w:val="0"/>
    <w:pPr>
      <w:keepNext w:val="0"/>
      <w:keepLines w:val="0"/>
      <w:widowControl w:val="0"/>
      <w:suppressLineNumbers w:val="0"/>
      <w:autoSpaceDE w:val="0"/>
      <w:autoSpaceDN w:val="0"/>
      <w:spacing w:before="0" w:beforeAutospacing="0" w:after="0" w:afterAutospacing="0" w:line="240" w:lineRule="auto"/>
      <w:ind w:left="0" w:right="0"/>
      <w:jc w:val="center"/>
    </w:pPr>
    <w:rPr>
      <w:rFonts w:hint="eastAsia" w:ascii="仿宋" w:hAnsi="仿宋" w:eastAsia="仿宋" w:cs="仿宋"/>
      <w:kern w:val="0"/>
      <w:sz w:val="22"/>
      <w:szCs w:val="22"/>
      <w:lang w:val="en-US" w:eastAsia="zh-CN" w:bidi="ar"/>
    </w:rPr>
  </w:style>
  <w:style w:type="paragraph" w:customStyle="1" w:styleId="86">
    <w:name w:val="表图头"/>
    <w:basedOn w:val="65"/>
    <w:qFormat/>
    <w:uiPriority w:val="0"/>
    <w:pPr>
      <w:ind w:firstLine="0" w:firstLineChars="0"/>
      <w:jc w:val="center"/>
    </w:pPr>
    <w:rPr>
      <w:b/>
      <w:sz w:val="22"/>
    </w:rPr>
  </w:style>
  <w:style w:type="paragraph" w:customStyle="1" w:styleId="87">
    <w:name w:val="正文00"/>
    <w:basedOn w:val="1"/>
    <w:next w:val="62"/>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88">
    <w:name w:val="环评表中文字"/>
    <w:basedOn w:val="1"/>
    <w:qFormat/>
    <w:uiPriority w:val="0"/>
    <w:pPr>
      <w:widowControl/>
      <w:spacing w:line="240" w:lineRule="auto"/>
      <w:ind w:firstLine="0" w:firstLineChars="0"/>
      <w:jc w:val="center"/>
    </w:pPr>
    <w:rPr>
      <w:rFonts w:ascii="宋体" w:hAnsi="宋体" w:cs="宋体"/>
      <w:kern w:val="0"/>
      <w:szCs w:val="22"/>
    </w:rPr>
  </w:style>
  <w:style w:type="paragraph" w:customStyle="1" w:styleId="89">
    <w:name w:val="_Style 2"/>
    <w:basedOn w:val="1"/>
    <w:qFormat/>
    <w:uiPriority w:val="34"/>
    <w:pPr>
      <w:ind w:firstLine="420" w:firstLineChars="200"/>
    </w:pPr>
    <w:rPr>
      <w:rFonts w:ascii="Calibri" w:hAnsi="Calibri"/>
      <w:szCs w:val="22"/>
    </w:rPr>
  </w:style>
  <w:style w:type="paragraph" w:customStyle="1" w:styleId="90">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91">
    <w:name w:val="《正文》"/>
    <w:basedOn w:val="1"/>
    <w:qFormat/>
    <w:uiPriority w:val="0"/>
    <w:pPr>
      <w:spacing w:line="360" w:lineRule="auto"/>
      <w:ind w:firstLine="200" w:firstLineChars="200"/>
    </w:pPr>
    <w:rPr>
      <w:sz w:val="24"/>
    </w:rPr>
  </w:style>
  <w:style w:type="paragraph" w:customStyle="1" w:styleId="92">
    <w:name w:val="列出段落1"/>
    <w:basedOn w:val="1"/>
    <w:qFormat/>
    <w:uiPriority w:val="0"/>
    <w:pPr>
      <w:ind w:firstLine="420" w:firstLineChars="200"/>
    </w:pPr>
  </w:style>
  <w:style w:type="paragraph" w:customStyle="1" w:styleId="93">
    <w:name w:val="baby-正文"/>
    <w:basedOn w:val="10"/>
    <w:next w:val="8"/>
    <w:qFormat/>
    <w:uiPriority w:val="0"/>
    <w:pPr>
      <w:spacing w:after="120"/>
    </w:pPr>
    <w:rPr>
      <w:rFonts w:ascii="仿宋_GB2312"/>
      <w:bCs/>
      <w:sz w:val="30"/>
    </w:rPr>
  </w:style>
  <w:style w:type="paragraph" w:customStyle="1" w:styleId="94">
    <w:name w:val="表格中文字"/>
    <w:basedOn w:val="95"/>
    <w:qFormat/>
    <w:uiPriority w:val="0"/>
    <w:pPr>
      <w:spacing w:line="360" w:lineRule="exact"/>
    </w:pPr>
    <w:rPr>
      <w:szCs w:val="21"/>
    </w:rPr>
  </w:style>
  <w:style w:type="paragraph" w:customStyle="1" w:styleId="95">
    <w:name w:val="填表正文"/>
    <w:basedOn w:val="1"/>
    <w:qFormat/>
    <w:uiPriority w:val="0"/>
    <w:pPr>
      <w:adjustRightInd w:val="0"/>
      <w:snapToGrid w:val="0"/>
      <w:jc w:val="center"/>
    </w:pPr>
    <w:rPr>
      <w:rFonts w:ascii="宋体" w:hAnsi="Calibri"/>
      <w:color w:val="000000"/>
      <w:kern w:val="0"/>
      <w:szCs w:val="44"/>
    </w:rPr>
  </w:style>
  <w:style w:type="paragraph" w:customStyle="1" w:styleId="96">
    <w:name w:val="样式 黑体 居中 行距: 1.5 倍行距"/>
    <w:basedOn w:val="1"/>
    <w:qFormat/>
    <w:uiPriority w:val="0"/>
    <w:pPr>
      <w:ind w:firstLine="0" w:firstLineChars="0"/>
      <w:jc w:val="center"/>
    </w:pPr>
    <w:rPr>
      <w:rFonts w:ascii="黑体" w:hAnsi="黑体" w:eastAsia="黑体" w:cs="宋体"/>
      <w:kern w:val="0"/>
      <w:szCs w:val="20"/>
    </w:rPr>
  </w:style>
  <w:style w:type="paragraph" w:customStyle="1" w:styleId="97">
    <w:name w:val="表中文字（工大）"/>
    <w:basedOn w:val="1"/>
    <w:qFormat/>
    <w:uiPriority w:val="0"/>
    <w:pPr>
      <w:spacing w:line="400" w:lineRule="exact"/>
      <w:jc w:val="center"/>
    </w:pPr>
    <w:rPr>
      <w:szCs w:val="20"/>
    </w:rPr>
  </w:style>
  <w:style w:type="paragraph" w:customStyle="1" w:styleId="98">
    <w:name w:val="C【表头】"/>
    <w:basedOn w:val="1"/>
    <w:qFormat/>
    <w:uiPriority w:val="0"/>
    <w:pPr>
      <w:widowControl/>
      <w:adjustRightInd w:val="0"/>
      <w:snapToGrid w:val="0"/>
      <w:jc w:val="center"/>
    </w:pPr>
    <w:rPr>
      <w:rFonts w:eastAsia="黑体" w:cs="宋体"/>
      <w:kern w:val="0"/>
      <w:szCs w:val="20"/>
    </w:rPr>
  </w:style>
  <w:style w:type="paragraph" w:customStyle="1" w:styleId="99">
    <w:name w:val="正文缩进1"/>
    <w:basedOn w:val="1"/>
    <w:qFormat/>
    <w:uiPriority w:val="0"/>
    <w:pPr>
      <w:ind w:firstLine="420"/>
    </w:pPr>
    <w:rPr>
      <w:szCs w:val="20"/>
    </w:rPr>
  </w:style>
  <w:style w:type="paragraph" w:customStyle="1" w:styleId="100">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101">
    <w:name w:val="表格填充项"/>
    <w:basedOn w:val="1"/>
    <w:qFormat/>
    <w:uiPriority w:val="0"/>
    <w:pPr>
      <w:spacing w:line="240" w:lineRule="atLeast"/>
      <w:jc w:val="center"/>
    </w:pPr>
    <w:rPr>
      <w:rFonts w:ascii="宋体" w:hAnsi="宋体"/>
      <w:b/>
      <w:szCs w:val="24"/>
    </w:rPr>
  </w:style>
  <w:style w:type="paragraph" w:customStyle="1" w:styleId="102">
    <w:name w:val="【表中文字】-"/>
    <w:basedOn w:val="1"/>
    <w:qFormat/>
    <w:uiPriority w:val="0"/>
    <w:pPr>
      <w:adjustRightInd w:val="0"/>
      <w:snapToGrid w:val="0"/>
      <w:jc w:val="center"/>
    </w:pPr>
    <w:rPr>
      <w:kern w:val="0"/>
      <w:sz w:val="18"/>
    </w:rPr>
  </w:style>
  <w:style w:type="table" w:customStyle="1" w:styleId="103">
    <w:name w:val="网格型13"/>
    <w:basedOn w:val="30"/>
    <w:qFormat/>
    <w:uiPriority w:val="59"/>
    <w:pPr>
      <w:jc w:val="center"/>
    </w:pPr>
    <w:rPr>
      <w:rFonts w:ascii="Calibri" w:hAnsi="Calibri"/>
      <w:kern w:val="2"/>
      <w:sz w:val="21"/>
      <w:szCs w:val="22"/>
    </w:r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 w:type="table" w:customStyle="1" w:styleId="104">
    <w:name w:val="Table Normal1"/>
    <w:unhideWhenUsed/>
    <w:qFormat/>
    <w:uiPriority w:val="2"/>
    <w:pPr>
      <w:widowControl w:val="0"/>
    </w:pPr>
    <w:rPr>
      <w:rFonts w:eastAsia="宋体"/>
      <w:lang w:eastAsia="en-US"/>
    </w:rPr>
    <w:tblPr>
      <w:tblLayout w:type="fixed"/>
      <w:tblCellMar>
        <w:top w:w="0" w:type="dxa"/>
        <w:left w:w="0" w:type="dxa"/>
        <w:bottom w:w="0" w:type="dxa"/>
        <w:right w:w="0" w:type="dxa"/>
      </w:tblCellMar>
    </w:tblPr>
  </w:style>
  <w:style w:type="paragraph" w:customStyle="1" w:styleId="105">
    <w:name w:val="a正文"/>
    <w:basedOn w:val="61"/>
    <w:qFormat/>
    <w:uiPriority w:val="0"/>
    <w:pPr>
      <w:spacing w:line="520" w:lineRule="exact"/>
      <w:ind w:firstLine="200"/>
    </w:pPr>
    <w:rPr>
      <w:rFonts w:cs="Times New Roman"/>
    </w:rPr>
  </w:style>
  <w:style w:type="paragraph" w:customStyle="1" w:styleId="106">
    <w:name w:val="正文1"/>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07">
    <w:name w:val="bgb表头"/>
    <w:basedOn w:val="1"/>
    <w:next w:val="1"/>
    <w:qFormat/>
    <w:uiPriority w:val="0"/>
    <w:pPr>
      <w:adjustRightInd w:val="0"/>
      <w:snapToGrid w:val="0"/>
      <w:spacing w:line="480" w:lineRule="exact"/>
      <w:contextualSpacing/>
      <w:jc w:val="center"/>
    </w:pPr>
    <w:rPr>
      <w:color w:val="000000"/>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jpe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wmf"/><Relationship Id="rId34" Type="http://schemas.openxmlformats.org/officeDocument/2006/relationships/oleObject" Target="embeddings/oleObject9.bin"/><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UzODc2MzIwODcyIiwKCSJHcm91cElkIiA6ICI3MzUxMzk3OD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U4MDMzMDY5IiwKCSJWZXJzaW9uIiA6ICIxMiIKfQo="/>
    </extobj>
    <extobj name="ECB019B1-382A-4266-B25C-5B523AA43C14-2">
      <extobjdata type="ECB019B1-382A-4266-B25C-5B523AA43C14" data="ewoJIkZpbGVJZCIgOiAiNDUzODc2MjY5MzczIiwKCSJHcm91cElkIiA6ICI3MzUxMzk3OD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U4MDMzMDY5IiwKCSJWZXJzaW9uIiA6ICI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58</Pages>
  <Words>9120</Words>
  <Characters>9939</Characters>
  <Lines>13</Lines>
  <Paragraphs>3</Paragraphs>
  <TotalTime>0</TotalTime>
  <ScaleCrop>false</ScaleCrop>
  <LinksUpToDate>false</LinksUpToDate>
  <CharactersWithSpaces>10033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啡杯</cp:lastModifiedBy>
  <cp:lastPrinted>2020-12-29T02:43:00Z</cp:lastPrinted>
  <dcterms:modified xsi:type="dcterms:W3CDTF">2025-11-04T11:05:12Z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179920DE5C614D3E98B7FD16EBAFFEC7_13</vt:lpwstr>
  </property>
  <property fmtid="{D5CDD505-2E9C-101B-9397-08002B2CF9AE}" pid="4" name="KSOTemplateDocerSaveRecord">
    <vt:lpwstr>eyJoZGlkIjoiMWMxYjE0ODY0YzUzMzU2N2EyOTFkYjA4ZWVlNmY4NDEiLCJ1c2VySWQiOiI2NTgwMzMwNjkifQ==</vt:lpwstr>
  </property>
</Properties>
</file>